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0793" w14:textId="4DE32F25" w:rsidR="00403D9B" w:rsidRDefault="00403D9B" w:rsidP="00787C85">
      <w:pPr>
        <w:pStyle w:val="Ttulo1"/>
        <w:rPr>
          <w:i/>
        </w:rPr>
      </w:pPr>
      <w:bookmarkStart w:id="0" w:name="_Toc231861774"/>
      <w:r w:rsidRPr="00EA568B">
        <w:t xml:space="preserve">Apéndice </w:t>
      </w:r>
      <w:fldSimple w:instr=" SEQ Apéndice \* ALPHABETIC ">
        <w:r w:rsidR="009A2362">
          <w:rPr>
            <w:noProof/>
          </w:rPr>
          <w:t>D</w:t>
        </w:r>
      </w:fldSimple>
      <w:r w:rsidRPr="00EA568B">
        <w:t>.</w:t>
      </w:r>
      <w:r w:rsidRPr="00403D9B">
        <w:rPr>
          <w:i/>
        </w:rPr>
        <w:t xml:space="preserve"> </w:t>
      </w:r>
      <w:r w:rsidRPr="00AA528A">
        <w:rPr>
          <w:i/>
        </w:rPr>
        <w:t>Artículo de Investigación</w:t>
      </w:r>
      <w:bookmarkEnd w:id="0"/>
    </w:p>
    <w:p w14:paraId="1F9470DD" w14:textId="77777777" w:rsidR="00787C85" w:rsidRPr="00EA568B" w:rsidRDefault="00787C85" w:rsidP="00787C85">
      <w:pPr>
        <w:pStyle w:val="Ttulo1"/>
        <w:rPr>
          <w:rFonts w:eastAsia="Arial" w:cs="Times New Roman"/>
          <w:i/>
        </w:rPr>
      </w:pPr>
    </w:p>
    <w:p w14:paraId="26E3788F" w14:textId="3779799B" w:rsidR="00937110" w:rsidRPr="008A1067" w:rsidRDefault="00937110" w:rsidP="00937110">
      <w:pPr>
        <w:jc w:val="center"/>
        <w:rPr>
          <w:rFonts w:cs="Times New Roman"/>
          <w:szCs w:val="24"/>
        </w:rPr>
      </w:pPr>
      <w:r w:rsidRPr="008A1067">
        <w:rPr>
          <w:rFonts w:eastAsia="Arial" w:cs="Times New Roman"/>
          <w:b/>
          <w:bCs/>
          <w:szCs w:val="24"/>
        </w:rPr>
        <w:t>Inteligencia Artificial en la Gestión del Talento Humano:</w:t>
      </w:r>
    </w:p>
    <w:p w14:paraId="7F94D97E" w14:textId="77777777" w:rsidR="00937110" w:rsidRPr="008A1067" w:rsidRDefault="00937110" w:rsidP="00937110">
      <w:pPr>
        <w:jc w:val="center"/>
        <w:rPr>
          <w:rFonts w:cs="Times New Roman"/>
          <w:szCs w:val="24"/>
        </w:rPr>
      </w:pPr>
      <w:r w:rsidRPr="008A1067">
        <w:rPr>
          <w:rFonts w:eastAsia="Arial" w:cs="Times New Roman"/>
          <w:b/>
          <w:bCs/>
          <w:szCs w:val="24"/>
        </w:rPr>
        <w:t>Beneficios, Obstáculos y Riesgos. Una Revisión Sistemática de la Literatura</w:t>
      </w:r>
    </w:p>
    <w:p w14:paraId="0C68A4EC" w14:textId="77777777" w:rsidR="00937110" w:rsidRPr="008A1067" w:rsidRDefault="00937110" w:rsidP="00937110">
      <w:pPr>
        <w:jc w:val="center"/>
        <w:rPr>
          <w:rFonts w:cs="Times New Roman"/>
          <w:szCs w:val="24"/>
        </w:rPr>
      </w:pPr>
      <w:r w:rsidRPr="008A1067">
        <w:rPr>
          <w:rFonts w:eastAsia="Arial" w:cs="Times New Roman"/>
          <w:i/>
          <w:szCs w:val="24"/>
          <w:lang w:val="en-US"/>
        </w:rPr>
        <w:t xml:space="preserve">Artificial Intelligence in Human Talent Management: Benefits, Barriers, and Risks. </w:t>
      </w:r>
      <w:r w:rsidRPr="008A1067">
        <w:rPr>
          <w:rFonts w:eastAsia="Arial" w:cs="Times New Roman"/>
          <w:i/>
          <w:szCs w:val="24"/>
        </w:rPr>
        <w:t>A Systematic Literature Review</w:t>
      </w:r>
    </w:p>
    <w:p w14:paraId="258BA5D0" w14:textId="3FC11469" w:rsidR="00937110" w:rsidRPr="008A1067" w:rsidRDefault="00000301" w:rsidP="00937110">
      <w:pPr>
        <w:jc w:val="center"/>
        <w:rPr>
          <w:rFonts w:cs="Times New Roman"/>
          <w:szCs w:val="24"/>
        </w:rPr>
      </w:pPr>
      <w:r>
        <w:rPr>
          <w:rFonts w:eastAsia="Arial" w:cs="Times New Roman"/>
          <w:szCs w:val="24"/>
        </w:rPr>
        <w:t>A</w:t>
      </w:r>
      <w:r w:rsidR="00937110" w:rsidRPr="008A1067">
        <w:rPr>
          <w:rFonts w:eastAsia="Arial" w:cs="Times New Roman"/>
          <w:szCs w:val="24"/>
        </w:rPr>
        <w:t xml:space="preserve">ngela </w:t>
      </w:r>
      <w:r w:rsidR="003B5756" w:rsidRPr="008A1067">
        <w:rPr>
          <w:rFonts w:eastAsia="Arial" w:cs="Times New Roman"/>
          <w:szCs w:val="24"/>
        </w:rPr>
        <w:t>Ord</w:t>
      </w:r>
      <w:r>
        <w:rPr>
          <w:rFonts w:eastAsia="Arial" w:cs="Times New Roman"/>
          <w:szCs w:val="24"/>
        </w:rPr>
        <w:t>u</w:t>
      </w:r>
      <w:r w:rsidR="003B5756" w:rsidRPr="008A1067">
        <w:rPr>
          <w:rFonts w:eastAsia="Arial" w:cs="Times New Roman"/>
          <w:szCs w:val="24"/>
        </w:rPr>
        <w:t xml:space="preserve">z </w:t>
      </w:r>
      <w:r w:rsidR="00937110" w:rsidRPr="008A1067">
        <w:rPr>
          <w:rFonts w:eastAsia="Arial" w:cs="Times New Roman"/>
          <w:szCs w:val="24"/>
        </w:rPr>
        <w:t xml:space="preserve">| Karol </w:t>
      </w:r>
      <w:r w:rsidR="003B5756" w:rsidRPr="008A1067">
        <w:rPr>
          <w:rFonts w:eastAsia="Arial" w:cs="Times New Roman"/>
          <w:szCs w:val="24"/>
        </w:rPr>
        <w:t>Rueda</w:t>
      </w:r>
    </w:p>
    <w:p w14:paraId="4AD84A28" w14:textId="5EC23193" w:rsidR="00832078" w:rsidRDefault="003B5756" w:rsidP="00832078">
      <w:pPr>
        <w:jc w:val="center"/>
        <w:rPr>
          <w:rFonts w:cs="Times New Roman"/>
          <w:szCs w:val="24"/>
        </w:rPr>
      </w:pPr>
      <w:r w:rsidRPr="008A1067">
        <w:rPr>
          <w:rFonts w:eastAsia="Arial" w:cs="Times New Roman"/>
          <w:i/>
          <w:szCs w:val="24"/>
        </w:rPr>
        <w:t>Universidad Industrial de Santander</w:t>
      </w:r>
      <w:r w:rsidR="00937110" w:rsidRPr="008A1067">
        <w:rPr>
          <w:rFonts w:eastAsia="Arial" w:cs="Times New Roman"/>
          <w:i/>
          <w:szCs w:val="24"/>
        </w:rPr>
        <w:t xml:space="preserve"> — Área Metropolitana de Bucaramanga, Colombia</w:t>
      </w:r>
    </w:p>
    <w:p w14:paraId="05B25C09" w14:textId="4AD43A95" w:rsidR="00937110" w:rsidRPr="008A1067" w:rsidRDefault="00937110" w:rsidP="00937110">
      <w:pPr>
        <w:rPr>
          <w:rFonts w:cs="Times New Roman"/>
          <w:szCs w:val="24"/>
        </w:rPr>
      </w:pPr>
      <w:r w:rsidRPr="008A1067">
        <w:rPr>
          <w:rFonts w:eastAsia="Arial" w:cs="Times New Roman"/>
          <w:b/>
          <w:bCs/>
          <w:szCs w:val="24"/>
        </w:rPr>
        <w:t>Resumen</w:t>
      </w:r>
    </w:p>
    <w:p w14:paraId="0939B6BB" w14:textId="35C8882E" w:rsidR="00B60773" w:rsidRPr="008A1067" w:rsidRDefault="00B60773" w:rsidP="00937110">
      <w:pPr>
        <w:rPr>
          <w:rFonts w:eastAsia="Arial" w:cs="Times New Roman"/>
          <w:szCs w:val="24"/>
        </w:rPr>
      </w:pPr>
      <w:r w:rsidRPr="008A1067">
        <w:rPr>
          <w:rFonts w:eastAsia="Arial" w:cs="Times New Roman"/>
          <w:szCs w:val="24"/>
        </w:rPr>
        <w:t>La llegada de la inteligencia artificial (IA) al entorno de los procesos de gestión del talento humano (GTH) ha hecho que se produzcan cambios interesantes en la manera en que las organizaciones gestionan su capital humano. Este artículo sistematiza los resultados de una revisión sistemática de la literatura (2018–2025) con el objetivo de identificar las ventajas, los obstáculos y los riesgos documentados en la implementación de la IA a los 9 subprocesos de GTH: a saber, el reclutamiento, la selección, la contratación y el onboarding, la capacitación y el desarrollo, la evaluación del desempeño, la remuneración y la compensación, la retención y el bienestar, la seguridad y la salud en el trabajo, y la desvinculación. La revisión se realizó mediante una matriz de doble entrada (9 subprocesos × 4 tipos de IA) en la que se analizaron más de 50 documentos indexados.</w:t>
      </w:r>
    </w:p>
    <w:p w14:paraId="57EBD972" w14:textId="433CC309" w:rsidR="00CF13E4" w:rsidRPr="008A1067" w:rsidRDefault="00CF13E4" w:rsidP="00EE1ED0">
      <w:pPr>
        <w:rPr>
          <w:rFonts w:eastAsia="Arial" w:cs="Times New Roman"/>
          <w:szCs w:val="24"/>
        </w:rPr>
      </w:pPr>
      <w:r w:rsidRPr="008A1067">
        <w:rPr>
          <w:rFonts w:eastAsia="Arial" w:cs="Times New Roman"/>
          <w:szCs w:val="24"/>
        </w:rPr>
        <w:lastRenderedPageBreak/>
        <w:t>Los datos indican que el 4</w:t>
      </w:r>
      <w:r w:rsidR="00ED2DDA" w:rsidRPr="008A1067">
        <w:rPr>
          <w:rFonts w:eastAsia="Arial" w:cs="Times New Roman"/>
          <w:szCs w:val="24"/>
        </w:rPr>
        <w:t>1,7</w:t>
      </w:r>
      <w:r w:rsidRPr="008A1067">
        <w:rPr>
          <w:rFonts w:eastAsia="Arial" w:cs="Times New Roman"/>
          <w:szCs w:val="24"/>
        </w:rPr>
        <w:t xml:space="preserve">% de las </w:t>
      </w:r>
      <w:r w:rsidR="00EE1ED0" w:rsidRPr="008A1067">
        <w:rPr>
          <w:rFonts w:eastAsia="Arial" w:cs="Times New Roman"/>
          <w:szCs w:val="24"/>
        </w:rPr>
        <w:t>combinaciones</w:t>
      </w:r>
      <w:r w:rsidRPr="008A1067">
        <w:rPr>
          <w:rFonts w:eastAsia="Arial" w:cs="Times New Roman"/>
          <w:szCs w:val="24"/>
        </w:rPr>
        <w:t xml:space="preserve"> poseen evidencia </w:t>
      </w:r>
      <w:r w:rsidR="0064724C" w:rsidRPr="008A1067">
        <w:rPr>
          <w:rFonts w:eastAsia="Arial" w:cs="Times New Roman"/>
          <w:szCs w:val="24"/>
        </w:rPr>
        <w:t xml:space="preserve">sólida </w:t>
      </w:r>
      <w:r w:rsidRPr="008A1067">
        <w:rPr>
          <w:rFonts w:eastAsia="Arial" w:cs="Times New Roman"/>
          <w:szCs w:val="24"/>
        </w:rPr>
        <w:t xml:space="preserve">(consistente en tres o más estudios), que el </w:t>
      </w:r>
      <w:r w:rsidR="00ED2DDA" w:rsidRPr="008A1067">
        <w:rPr>
          <w:rFonts w:eastAsia="Arial" w:cs="Times New Roman"/>
          <w:szCs w:val="24"/>
        </w:rPr>
        <w:t>50</w:t>
      </w:r>
      <w:r w:rsidRPr="008A1067">
        <w:rPr>
          <w:rFonts w:eastAsia="Arial" w:cs="Times New Roman"/>
          <w:szCs w:val="24"/>
        </w:rPr>
        <w:t xml:space="preserve">% cuenta con evidencias escasas, y que el </w:t>
      </w:r>
      <w:r w:rsidR="00ED2DDA" w:rsidRPr="008A1067">
        <w:rPr>
          <w:rFonts w:eastAsia="Arial" w:cs="Times New Roman"/>
          <w:szCs w:val="24"/>
        </w:rPr>
        <w:t>8,</w:t>
      </w:r>
      <w:r w:rsidRPr="008A1067">
        <w:rPr>
          <w:rFonts w:eastAsia="Arial" w:cs="Times New Roman"/>
          <w:szCs w:val="24"/>
        </w:rPr>
        <w:t>3% carecería de condiciones de aplicabilidad. La selección, el reclutamiento o la retención se destacan como subprocesos en que se encuentra mayor desarrollo. La discusión incide en la igualdad algorítmica, la gobernanza de datos y la monitorización humana como condiciones a modo de frontera para una implementación responsable en el medio latinoamericano.</w:t>
      </w:r>
    </w:p>
    <w:p w14:paraId="21E95671" w14:textId="3DA18789" w:rsidR="00B60773" w:rsidRPr="008A1067" w:rsidRDefault="00CF13E4" w:rsidP="00CF13E4">
      <w:pPr>
        <w:rPr>
          <w:rFonts w:eastAsia="Arial" w:cs="Times New Roman"/>
          <w:szCs w:val="24"/>
        </w:rPr>
      </w:pPr>
      <w:r w:rsidRPr="008A1067">
        <w:rPr>
          <w:rFonts w:eastAsia="Arial" w:cs="Times New Roman"/>
          <w:b/>
          <w:bCs/>
          <w:szCs w:val="24"/>
        </w:rPr>
        <w:t>Palabras clave:</w:t>
      </w:r>
      <w:r w:rsidRPr="008A1067">
        <w:rPr>
          <w:rFonts w:eastAsia="Arial" w:cs="Times New Roman"/>
          <w:szCs w:val="24"/>
        </w:rPr>
        <w:t xml:space="preserve"> inteligencia artificial, gestión del talento humano, revisión sistemática, equidad algorítmica, analítica predictiva, Área Metropolitana de Bucaramanga.</w:t>
      </w:r>
    </w:p>
    <w:p w14:paraId="0E179C54" w14:textId="1DD22530" w:rsidR="00937110" w:rsidRPr="008A1067" w:rsidRDefault="00937110" w:rsidP="00937110">
      <w:pPr>
        <w:rPr>
          <w:rFonts w:cs="Times New Roman"/>
          <w:szCs w:val="24"/>
          <w:lang w:val="en-US"/>
        </w:rPr>
      </w:pPr>
      <w:r w:rsidRPr="008A1067">
        <w:rPr>
          <w:rFonts w:eastAsia="Arial" w:cs="Times New Roman"/>
          <w:b/>
          <w:bCs/>
          <w:szCs w:val="24"/>
          <w:lang w:val="en-US"/>
        </w:rPr>
        <w:t>Abstract</w:t>
      </w:r>
    </w:p>
    <w:p w14:paraId="10F2EF9F" w14:textId="37BB6DB7" w:rsidR="00CF13E4" w:rsidRPr="008A1067" w:rsidRDefault="00CF13E4" w:rsidP="00CF13E4">
      <w:pPr>
        <w:rPr>
          <w:rFonts w:eastAsia="Arial" w:cs="Times New Roman"/>
          <w:szCs w:val="24"/>
          <w:lang w:val="en-US"/>
        </w:rPr>
      </w:pPr>
      <w:r w:rsidRPr="008A1067">
        <w:rPr>
          <w:rFonts w:eastAsia="Arial" w:cs="Times New Roman"/>
          <w:szCs w:val="24"/>
          <w:lang w:val="en-US"/>
        </w:rPr>
        <w:t>The arrival of artificial intelligence (AI) in the human talent management (HTM) process environment has brought about interesting changes in how organizations manage their human capital. This article systematizes the results of a systematic literature review (2018–2025) with the aim of identifying the documented advantages, obstacles, and risks of implementing AI in the nine HTM subprocesses: recruitment, selection, hiring and onboarding, training and development, performance evaluation, compensation and remuneration, retention and well-being, occupational health and safety, and separation. The review was conducted using a two-dimensional matrix (9 subprocesses × 4 types of AI) in which more than 50 indexed documents were analyzed.</w:t>
      </w:r>
    </w:p>
    <w:p w14:paraId="5EDD5916" w14:textId="4D54EAE8" w:rsidR="00CF13E4" w:rsidRPr="008A1067" w:rsidRDefault="00CF13E4" w:rsidP="00CF13E4">
      <w:pPr>
        <w:rPr>
          <w:rFonts w:eastAsia="Arial" w:cs="Times New Roman"/>
          <w:szCs w:val="24"/>
          <w:lang w:val="en-US"/>
        </w:rPr>
      </w:pPr>
      <w:r w:rsidRPr="008A1067">
        <w:rPr>
          <w:rFonts w:eastAsia="Arial" w:cs="Times New Roman"/>
          <w:szCs w:val="24"/>
          <w:lang w:val="en-US"/>
        </w:rPr>
        <w:t>The data indicate that 4</w:t>
      </w:r>
      <w:r w:rsidR="00ED2DDA" w:rsidRPr="008A1067">
        <w:rPr>
          <w:rFonts w:eastAsia="Arial" w:cs="Times New Roman"/>
          <w:szCs w:val="24"/>
          <w:lang w:val="en-US"/>
        </w:rPr>
        <w:t>1,7</w:t>
      </w:r>
      <w:r w:rsidRPr="008A1067">
        <w:rPr>
          <w:rFonts w:eastAsia="Arial" w:cs="Times New Roman"/>
          <w:szCs w:val="24"/>
          <w:lang w:val="en-US"/>
        </w:rPr>
        <w:t xml:space="preserve">% of the cells have robust evidence (consistent with three or more studies), </w:t>
      </w:r>
      <w:r w:rsidR="00ED2DDA" w:rsidRPr="008A1067">
        <w:rPr>
          <w:rFonts w:eastAsia="Arial" w:cs="Times New Roman"/>
          <w:szCs w:val="24"/>
          <w:lang w:val="en-US"/>
        </w:rPr>
        <w:t>50</w:t>
      </w:r>
      <w:r w:rsidRPr="008A1067">
        <w:rPr>
          <w:rFonts w:eastAsia="Arial" w:cs="Times New Roman"/>
          <w:szCs w:val="24"/>
          <w:lang w:val="en-US"/>
        </w:rPr>
        <w:t xml:space="preserve">% have limited evidence, and </w:t>
      </w:r>
      <w:r w:rsidR="00ED2DDA" w:rsidRPr="008A1067">
        <w:rPr>
          <w:rFonts w:eastAsia="Arial" w:cs="Times New Roman"/>
          <w:szCs w:val="24"/>
          <w:lang w:val="en-US"/>
        </w:rPr>
        <w:t>8,</w:t>
      </w:r>
      <w:r w:rsidRPr="008A1067">
        <w:rPr>
          <w:rFonts w:eastAsia="Arial" w:cs="Times New Roman"/>
          <w:szCs w:val="24"/>
          <w:lang w:val="en-US"/>
        </w:rPr>
        <w:t>3% lack applicability. Selection, recruitment, and retention stand out as subprocesses with the greatest development. The discussion focuses on algorithmic fairness, data governance, and human monitoring as boundary conditions for responsible implementation in the Latin American context.</w:t>
      </w:r>
    </w:p>
    <w:p w14:paraId="481BB5DC" w14:textId="6CAF974D" w:rsidR="00CF13E4" w:rsidRPr="008A1067" w:rsidRDefault="00CF13E4" w:rsidP="00CF13E4">
      <w:pPr>
        <w:rPr>
          <w:rFonts w:eastAsia="Arial" w:cs="Times New Roman"/>
          <w:szCs w:val="24"/>
          <w:lang w:val="en-US"/>
        </w:rPr>
      </w:pPr>
      <w:r w:rsidRPr="002264CF">
        <w:rPr>
          <w:rFonts w:eastAsia="Arial" w:cs="Times New Roman"/>
          <w:b/>
          <w:bCs/>
          <w:szCs w:val="24"/>
          <w:lang w:val="en-US"/>
        </w:rPr>
        <w:t>Keywords:</w:t>
      </w:r>
      <w:r w:rsidRPr="008A1067">
        <w:rPr>
          <w:rFonts w:eastAsia="Arial" w:cs="Times New Roman"/>
          <w:szCs w:val="24"/>
          <w:lang w:val="en-US"/>
        </w:rPr>
        <w:t xml:space="preserve"> artificial intelligence, human talent management, systematic review, algorithmic fairness, predictive analytics, Bucaramanga Metropolitan Area.</w:t>
      </w:r>
    </w:p>
    <w:p w14:paraId="2943E9EC" w14:textId="5E07B4E3" w:rsidR="00937110" w:rsidRPr="008A1067" w:rsidRDefault="00937110" w:rsidP="00937110">
      <w:pPr>
        <w:rPr>
          <w:rFonts w:cs="Times New Roman"/>
          <w:szCs w:val="24"/>
        </w:rPr>
      </w:pPr>
      <w:r w:rsidRPr="008A1067">
        <w:rPr>
          <w:rFonts w:eastAsia="Arial" w:cs="Times New Roman"/>
          <w:b/>
          <w:bCs/>
          <w:szCs w:val="24"/>
        </w:rPr>
        <w:t>Introducción</w:t>
      </w:r>
    </w:p>
    <w:p w14:paraId="6A04562F" w14:textId="5FF89731" w:rsidR="00CF13E4" w:rsidRPr="008A1067" w:rsidRDefault="007C129A" w:rsidP="00937110">
      <w:pPr>
        <w:rPr>
          <w:rFonts w:eastAsia="Arial" w:cs="Times New Roman"/>
          <w:szCs w:val="24"/>
        </w:rPr>
      </w:pPr>
      <w:r w:rsidRPr="008A1067">
        <w:rPr>
          <w:rFonts w:eastAsia="Arial" w:cs="Times New Roman"/>
          <w:szCs w:val="24"/>
        </w:rPr>
        <w:t>La transformación digital ha modificado las relaciones organizacionales. En la gestión del talento humano, la inteligencia artificial (IA) se ha consolidado como una herramienta estratégica. Sus aplicaciones abarcan desde la automatización operativa hasta la toma de decisiones sobre el capital humano (Strohmeier &amp; Piazza, 2022) i</w:t>
      </w:r>
      <w:r w:rsidR="00CF13E4" w:rsidRPr="008A1067">
        <w:rPr>
          <w:rFonts w:eastAsia="Arial" w:cs="Times New Roman"/>
          <w:szCs w:val="24"/>
        </w:rPr>
        <w:t>ndican que la literatura en IA aplicada a recursos humanos se ha ido consolidando de a poco desde el año 2015 y que ha crecido de manera significativa a partir de 2019 en la medida que las herramientas de aprendizaje automático se han vuelto asequibles para las organizaciones de diferentes tamaños.</w:t>
      </w:r>
    </w:p>
    <w:p w14:paraId="526364A5" w14:textId="77777777" w:rsidR="00CF13E4" w:rsidRPr="008A1067" w:rsidRDefault="00CF13E4" w:rsidP="00CF13E4">
      <w:pPr>
        <w:rPr>
          <w:rFonts w:eastAsia="Arial" w:cs="Times New Roman"/>
          <w:szCs w:val="24"/>
        </w:rPr>
      </w:pPr>
      <w:r w:rsidRPr="008A1067">
        <w:rPr>
          <w:rFonts w:eastAsia="Arial" w:cs="Times New Roman"/>
          <w:szCs w:val="24"/>
        </w:rPr>
        <w:t>Pese a este desarrollo internacional, la investigación sobre la aplicación de la inteligencia artificial en gestión de personas a nivel Latinoamericano es pobre. Según el Observatorio Iberoamericano de Ciencia, Tecnología y Sociedad (OCTS, 2023), menos del 12% de investigaciones sobre inteligencia artificial en la región se encuentra relacionada con su aplicación para la gestión de personas. Esta carencia de investigaciones es de alta importancia en el caso colombiano, donde la política pública de transformación digital apuesta por la emergente adopción de las tecnologías, pero sin suficientes lineamientos acerca de los efectos que la adopción de esta tecnología tiene sobre talento humano (Londoño y Hernández, 2023).</w:t>
      </w:r>
    </w:p>
    <w:p w14:paraId="412D7438" w14:textId="7D564B22" w:rsidR="00CF13E4" w:rsidRPr="008A1067" w:rsidRDefault="00CF13E4" w:rsidP="00CF13E4">
      <w:pPr>
        <w:rPr>
          <w:rFonts w:eastAsia="Arial" w:cs="Times New Roman"/>
          <w:szCs w:val="24"/>
        </w:rPr>
      </w:pPr>
      <w:r w:rsidRPr="008A1067">
        <w:rPr>
          <w:rFonts w:eastAsia="Arial" w:cs="Times New Roman"/>
          <w:szCs w:val="24"/>
        </w:rPr>
        <w:t xml:space="preserve">En el Área Metropolitana de Bucaramanga (AMB), </w:t>
      </w:r>
      <w:r w:rsidR="007C129A" w:rsidRPr="008A1067">
        <w:rPr>
          <w:rFonts w:eastAsia="Arial" w:cs="Times New Roman"/>
          <w:szCs w:val="24"/>
        </w:rPr>
        <w:t xml:space="preserve">la digitalización de la GTH avanza hacia su consolidación </w:t>
      </w:r>
      <w:r w:rsidRPr="008A1067">
        <w:rPr>
          <w:rFonts w:eastAsia="Arial" w:cs="Times New Roman"/>
          <w:szCs w:val="24"/>
        </w:rPr>
        <w:t xml:space="preserve">a partir de iniciativas propuestas por la Cámara de Comercio de Bucaramanga (2023) y de las estrategias de competitividad impulsadas por el sector empresarial de la región (Gómez y Ramírez, 2022). Sin embargo, el escaso registro empírico sobre beneficios, desafíos y riesgos de la adopción de inteligencia artificial para GTH en la región lastra la toma de decisiones de parte de los líderes organizacionales. </w:t>
      </w:r>
      <w:r w:rsidR="007C129A" w:rsidRPr="008A1067">
        <w:rPr>
          <w:rFonts w:eastAsia="Arial" w:cs="Times New Roman"/>
          <w:szCs w:val="24"/>
        </w:rPr>
        <w:t xml:space="preserve">En consecuencia, este estudio mapea, clasifica y analiza la evidencia sobre IA aplicada a los nueve subprocesos del ciclo del talento humano </w:t>
      </w:r>
      <w:r w:rsidRPr="008A1067">
        <w:rPr>
          <w:rFonts w:eastAsia="Arial" w:cs="Times New Roman"/>
          <w:szCs w:val="24"/>
        </w:rPr>
        <w:t>sobre la aplicación de IA para los nueve subprocesos del ciclo del talento humano (CTH), los cuales describimos a continuación.</w:t>
      </w:r>
    </w:p>
    <w:p w14:paraId="6D3F6D99" w14:textId="435EF557" w:rsidR="00937110" w:rsidRPr="008A1067" w:rsidRDefault="002264CF" w:rsidP="00937110">
      <w:pPr>
        <w:rPr>
          <w:rFonts w:cs="Times New Roman"/>
          <w:szCs w:val="24"/>
        </w:rPr>
      </w:pPr>
      <w:r>
        <w:rPr>
          <w:rFonts w:eastAsia="Arial" w:cs="Times New Roman"/>
          <w:b/>
          <w:bCs/>
          <w:szCs w:val="24"/>
        </w:rPr>
        <w:t>1</w:t>
      </w:r>
      <w:r w:rsidR="00937110" w:rsidRPr="008A1067">
        <w:rPr>
          <w:rFonts w:eastAsia="Arial" w:cs="Times New Roman"/>
          <w:b/>
          <w:bCs/>
          <w:szCs w:val="24"/>
        </w:rPr>
        <w:t>. Marco Teórico</w:t>
      </w:r>
    </w:p>
    <w:p w14:paraId="355C7C85" w14:textId="15E623C1" w:rsidR="00937110" w:rsidRPr="008A1067" w:rsidRDefault="002264CF" w:rsidP="00937110">
      <w:pPr>
        <w:rPr>
          <w:rFonts w:cs="Times New Roman"/>
          <w:szCs w:val="24"/>
        </w:rPr>
      </w:pPr>
      <w:r>
        <w:rPr>
          <w:rFonts w:eastAsia="Arial" w:cs="Times New Roman"/>
          <w:b/>
          <w:bCs/>
          <w:szCs w:val="24"/>
        </w:rPr>
        <w:t>1</w:t>
      </w:r>
      <w:r w:rsidR="00937110" w:rsidRPr="008A1067">
        <w:rPr>
          <w:rFonts w:eastAsia="Arial" w:cs="Times New Roman"/>
          <w:b/>
          <w:bCs/>
          <w:szCs w:val="24"/>
        </w:rPr>
        <w:t>.1. Tipología de aplicaciones de IA en GTH</w:t>
      </w:r>
    </w:p>
    <w:p w14:paraId="40DA92A8" w14:textId="1CBAA0A2" w:rsidR="00CF13E4" w:rsidRDefault="00CF13E4" w:rsidP="00937110">
      <w:pPr>
        <w:rPr>
          <w:rFonts w:eastAsia="Arial" w:cs="Times New Roman"/>
          <w:szCs w:val="24"/>
        </w:rPr>
      </w:pPr>
      <w:r w:rsidRPr="008A1067">
        <w:rPr>
          <w:rFonts w:eastAsia="Arial" w:cs="Times New Roman"/>
          <w:szCs w:val="24"/>
        </w:rPr>
        <w:t>La inteligencia artificial aplicada a las organizaciones incluye un conjunto de técnicas de todo tipo: los algoritmos de aprendizaje automático, el procesamiento del lenguaje natural (NLP), la visión por computador, los sistemas expertos, y los modelos generativos de gran tamaño. En el campo de la GTH, estas tecnologías se agrupan en cuatro tipos: la automatización de procesos con tecnología RPA, chatbots, y herramientas de screening; la analítica predictiva a través del Big Data y el aprendizaje automático para anticipar comportamientos laborales; la gestión estratégica y rediseño de procesos con People Analytics y la IA generativa; y la toma de decisiones a través de sistemas expertos (Strohmeier y Piazza, 2022; Fountaine, McCarthy y Saleh, 2019).</w:t>
      </w:r>
    </w:p>
    <w:p w14:paraId="3EB1323B" w14:textId="77777777" w:rsidR="00787C85" w:rsidRPr="008A1067" w:rsidRDefault="00787C85" w:rsidP="00937110">
      <w:pPr>
        <w:rPr>
          <w:rFonts w:eastAsia="Arial" w:cs="Times New Roman"/>
          <w:szCs w:val="24"/>
        </w:rPr>
      </w:pPr>
    </w:p>
    <w:p w14:paraId="044ADA6A" w14:textId="1269A7D1" w:rsidR="00937110" w:rsidRPr="008A1067" w:rsidRDefault="002264CF" w:rsidP="00937110">
      <w:pPr>
        <w:rPr>
          <w:rFonts w:cs="Times New Roman"/>
          <w:szCs w:val="24"/>
        </w:rPr>
      </w:pPr>
      <w:r>
        <w:rPr>
          <w:rFonts w:eastAsia="Arial" w:cs="Times New Roman"/>
          <w:b/>
          <w:bCs/>
          <w:szCs w:val="24"/>
        </w:rPr>
        <w:t>1</w:t>
      </w:r>
      <w:r w:rsidR="00937110" w:rsidRPr="008A1067">
        <w:rPr>
          <w:rFonts w:eastAsia="Arial" w:cs="Times New Roman"/>
          <w:b/>
          <w:bCs/>
          <w:szCs w:val="24"/>
        </w:rPr>
        <w:t>.2. Equidad algorítmica y sesgos en los datos</w:t>
      </w:r>
    </w:p>
    <w:p w14:paraId="2ECC2F25" w14:textId="63A91A5F" w:rsidR="00CF13E4" w:rsidRPr="008A1067" w:rsidRDefault="00CF13E4" w:rsidP="00937110">
      <w:pPr>
        <w:rPr>
          <w:rFonts w:eastAsia="Arial" w:cs="Times New Roman"/>
          <w:szCs w:val="24"/>
        </w:rPr>
      </w:pPr>
      <w:r w:rsidRPr="008A1067">
        <w:rPr>
          <w:rFonts w:eastAsia="Arial" w:cs="Times New Roman"/>
          <w:szCs w:val="24"/>
        </w:rPr>
        <w:t>Uno de los debates más significativos que han conformado la veta literaria ha sido la equidad algorítmica. Dantas (2025) explica que los algoritmos de IA aprenden de los datos históricos que se les presentan y que, a menos que se utilicen medidas correctivas, pueden reproducir sesgos, ya sean por género, por edad o por lugar de origen. Esto se centra en buena medida en los subprocesos de selección y en los de evaluación del desempeño, pues la utilización de decisiones calibradas por datos históricos puede reproducir patrones discriminatorios ya existentes. González García (2023) resume que algunos de los sistemas de selección automatizados se han dirigido a sesgos sistemáticos en la selección contra candidatos pertenecientes a grupos subrepresentados cuando se entrenan con datos no depurados.</w:t>
      </w:r>
    </w:p>
    <w:p w14:paraId="7B3E96A5" w14:textId="1095D6EA" w:rsidR="00937110" w:rsidRPr="008A1067" w:rsidRDefault="002264CF" w:rsidP="00937110">
      <w:pPr>
        <w:rPr>
          <w:rFonts w:cs="Times New Roman"/>
          <w:szCs w:val="24"/>
        </w:rPr>
      </w:pPr>
      <w:r>
        <w:rPr>
          <w:rFonts w:eastAsia="Arial" w:cs="Times New Roman"/>
          <w:b/>
          <w:bCs/>
          <w:szCs w:val="24"/>
        </w:rPr>
        <w:t>1</w:t>
      </w:r>
      <w:r w:rsidR="00937110" w:rsidRPr="008A1067">
        <w:rPr>
          <w:rFonts w:eastAsia="Arial" w:cs="Times New Roman"/>
          <w:b/>
          <w:bCs/>
          <w:szCs w:val="24"/>
        </w:rPr>
        <w:t>.3. Gobernanza de datos y ética digital</w:t>
      </w:r>
    </w:p>
    <w:p w14:paraId="6E29FF03" w14:textId="2EE0D0EF" w:rsidR="00CF13E4" w:rsidRDefault="00CF13E4" w:rsidP="00CF13E4">
      <w:pPr>
        <w:rPr>
          <w:rFonts w:eastAsia="Arial" w:cs="Times New Roman"/>
          <w:szCs w:val="24"/>
        </w:rPr>
      </w:pPr>
      <w:r w:rsidRPr="008A1067">
        <w:rPr>
          <w:rFonts w:eastAsia="Arial" w:cs="Times New Roman"/>
          <w:szCs w:val="24"/>
        </w:rPr>
        <w:t>La gobernanza de datos constituye un elemento transversal para conseguir la adopción responsable de la inteligencia artificial. Se caracteriza por políticas y procedimientos que aseguran la calidad, la seguridad, la privacidad y el uso ético de la información. La Organización Internacional del Trabajo (OIT, 2022) matiza en su informe "El futuro del trabajo, en la era digital" que la digitalización laboral no debe ser separada de marcos normativos que regulen el tratamiento de datos personales de los trabajadores y faciliten la participación informada de las personas. En Colombia, la Ley 1581 de 2012 y sus decretos reglamentarios crean el marco normativo que regulan el tratamiento de datos sensibles en el ámbito laboral.</w:t>
      </w:r>
    </w:p>
    <w:p w14:paraId="01BC2FF4" w14:textId="77777777" w:rsidR="00787C85" w:rsidRPr="008A1067" w:rsidRDefault="00787C85" w:rsidP="00CF13E4">
      <w:pPr>
        <w:rPr>
          <w:rFonts w:eastAsia="Arial" w:cs="Times New Roman"/>
          <w:szCs w:val="24"/>
        </w:rPr>
      </w:pPr>
    </w:p>
    <w:p w14:paraId="147C40F6" w14:textId="6031EC5B" w:rsidR="00CF13E4" w:rsidRPr="008A1067" w:rsidRDefault="002264CF" w:rsidP="00CF13E4">
      <w:pPr>
        <w:rPr>
          <w:rFonts w:eastAsia="Arial" w:cs="Times New Roman"/>
          <w:b/>
          <w:bCs/>
          <w:szCs w:val="24"/>
        </w:rPr>
      </w:pPr>
      <w:r>
        <w:rPr>
          <w:rFonts w:eastAsia="Arial" w:cs="Times New Roman"/>
          <w:b/>
          <w:bCs/>
          <w:szCs w:val="24"/>
        </w:rPr>
        <w:t>1</w:t>
      </w:r>
      <w:r w:rsidR="00CF13E4" w:rsidRPr="008A1067">
        <w:rPr>
          <w:rFonts w:eastAsia="Arial" w:cs="Times New Roman"/>
          <w:b/>
          <w:bCs/>
          <w:szCs w:val="24"/>
        </w:rPr>
        <w:t xml:space="preserve">.4 trata de la aceptación tecnológica y de los cambios organizacionales. </w:t>
      </w:r>
    </w:p>
    <w:p w14:paraId="772484D5" w14:textId="6EBAEF53" w:rsidR="00CF13E4" w:rsidRPr="008A1067" w:rsidRDefault="00CF13E4" w:rsidP="00CF13E4">
      <w:pPr>
        <w:rPr>
          <w:rFonts w:eastAsia="Arial" w:cs="Times New Roman"/>
          <w:szCs w:val="24"/>
        </w:rPr>
      </w:pPr>
      <w:r w:rsidRPr="008A1067">
        <w:rPr>
          <w:rFonts w:eastAsia="Arial" w:cs="Times New Roman"/>
          <w:szCs w:val="24"/>
        </w:rPr>
        <w:t>La literatura de la innovación organizacional concluye que el éxito de la adopción tecnológica radica en las personas; es decir, depende de la aceptación de la tecnología por parte de quienes la implantan o de los usuarios. Fountaine et al. (2019) matizan que cuando los líderes de una organización comunican una visión clara sobre los beneficios que la IA puede aportar, consideran que el nivel de compromiso de las personas mejora y existe una mayor probabilidad de que se reduzca la resistencia por parte de los colaboradores. Dantas (2025) resalta que el obstáculo no es la tecnología en sí misma, sino la cultura: la falta de un plan para la transformación digital centrado en las personas conlleva la imposibilidad de inscribirse en una adopción efectiva, aún para organizaciones con una capacidad técnica apropiada.</w:t>
      </w:r>
    </w:p>
    <w:p w14:paraId="5221EB3A" w14:textId="5C6A75C6" w:rsidR="00937110" w:rsidRPr="008A1067" w:rsidRDefault="002264CF" w:rsidP="00937110">
      <w:pPr>
        <w:rPr>
          <w:rFonts w:cs="Times New Roman"/>
          <w:szCs w:val="24"/>
        </w:rPr>
      </w:pPr>
      <w:r>
        <w:rPr>
          <w:rFonts w:eastAsia="Arial" w:cs="Times New Roman"/>
          <w:b/>
          <w:bCs/>
          <w:szCs w:val="24"/>
        </w:rPr>
        <w:t>2</w:t>
      </w:r>
      <w:r w:rsidR="00937110" w:rsidRPr="008A1067">
        <w:rPr>
          <w:rFonts w:eastAsia="Arial" w:cs="Times New Roman"/>
          <w:b/>
          <w:bCs/>
          <w:szCs w:val="24"/>
        </w:rPr>
        <w:t>. Metodología</w:t>
      </w:r>
    </w:p>
    <w:p w14:paraId="1328DDB0" w14:textId="77777777" w:rsidR="0077714B" w:rsidRPr="008A1067" w:rsidRDefault="0077714B" w:rsidP="0077714B">
      <w:pPr>
        <w:rPr>
          <w:rFonts w:eastAsia="Arial" w:cs="Times New Roman"/>
          <w:szCs w:val="24"/>
        </w:rPr>
      </w:pPr>
      <w:r w:rsidRPr="008A1067">
        <w:rPr>
          <w:rFonts w:eastAsia="Arial" w:cs="Times New Roman"/>
          <w:szCs w:val="24"/>
        </w:rPr>
        <w:t>Se puso en práctica el protocolo de revisión sistemática de literatura de Kitchenham y Charters (2007), el cual está estructurado en cuatro fases sucesivas (planificación, búsqueda, análisis y documentación). La búsqueda se llevó a cabo en seis bases de datos (Scopus, Web of Science, Google Scholar, Redalyc, Dialnet y ProQuest) para el periodo 2018-2025, utilizando ecuaciones booleanas en español e inglés que unieron conceptos como ‘artificial intelligence', ‘human resource management', ‘people analytics', ‘machine learning', ‘recruitment' y ‘performance appraisal'.</w:t>
      </w:r>
    </w:p>
    <w:p w14:paraId="5F6EECDC" w14:textId="7246736B" w:rsidR="00CF13E4" w:rsidRPr="008A1067" w:rsidRDefault="0077714B" w:rsidP="0077714B">
      <w:pPr>
        <w:rPr>
          <w:rFonts w:eastAsia="Arial" w:cs="Times New Roman"/>
          <w:szCs w:val="24"/>
        </w:rPr>
      </w:pPr>
      <w:r w:rsidRPr="008A1067">
        <w:rPr>
          <w:rFonts w:eastAsia="Arial" w:cs="Times New Roman"/>
          <w:szCs w:val="24"/>
        </w:rPr>
        <w:t>El proceso de selección comenzó con unos 350 registros. Una vez aplicados los criterios de inclusión (período 2018-2025, revistas indexadas en categoría Q1-Q3, contenido empírico o teórico sobre la IA en GTH, texto completo en acceso abierto, la inclusión de al menos un subproceso GTH) y de exclusión (literatura gris no revisada, duplicados, IA técnica sin vínculo con personas, idiomas distintos de español o inglés), obtuvo un corpus final con un número superior a 50 documentos. El instrumento de análisis era una matriz de doble entrada con los 9 subprocesos GTH en las filas y los 4 tipos de aplicación de IA en las columnas (3</w:t>
      </w:r>
      <w:r w:rsidR="00ED2DDA" w:rsidRPr="008A1067">
        <w:rPr>
          <w:rFonts w:eastAsia="Arial" w:cs="Times New Roman"/>
          <w:szCs w:val="24"/>
        </w:rPr>
        <w:t>6</w:t>
      </w:r>
      <w:r w:rsidRPr="008A1067">
        <w:rPr>
          <w:rFonts w:eastAsia="Arial" w:cs="Times New Roman"/>
          <w:szCs w:val="24"/>
        </w:rPr>
        <w:t xml:space="preserve"> </w:t>
      </w:r>
      <w:r w:rsidR="00EE1ED0" w:rsidRPr="008A1067">
        <w:rPr>
          <w:rFonts w:eastAsia="Arial" w:cs="Times New Roman"/>
          <w:szCs w:val="24"/>
        </w:rPr>
        <w:t>combinaciones</w:t>
      </w:r>
      <w:r w:rsidRPr="008A1067">
        <w:rPr>
          <w:rFonts w:eastAsia="Arial" w:cs="Times New Roman"/>
          <w:szCs w:val="24"/>
        </w:rPr>
        <w:t xml:space="preserve"> en total), donde se anotaron el nivel de evidencia, beneficios, obstáculos y riesgos para cada celda. La codificación fue realizada de manera individual por las dos investigadoras y conciliada en sesiones de triangulación teórica.</w:t>
      </w:r>
    </w:p>
    <w:p w14:paraId="136E7264" w14:textId="3BBC0BF7" w:rsidR="00937110" w:rsidRPr="008A1067" w:rsidRDefault="002264CF" w:rsidP="00937110">
      <w:pPr>
        <w:rPr>
          <w:rFonts w:cs="Times New Roman"/>
          <w:szCs w:val="24"/>
        </w:rPr>
      </w:pPr>
      <w:r>
        <w:rPr>
          <w:rFonts w:eastAsia="Arial" w:cs="Times New Roman"/>
          <w:b/>
          <w:bCs/>
          <w:szCs w:val="24"/>
        </w:rPr>
        <w:t>3</w:t>
      </w:r>
      <w:r w:rsidR="00937110" w:rsidRPr="008A1067">
        <w:rPr>
          <w:rFonts w:eastAsia="Arial" w:cs="Times New Roman"/>
          <w:b/>
          <w:bCs/>
          <w:szCs w:val="24"/>
        </w:rPr>
        <w:t>. Resultados</w:t>
      </w:r>
    </w:p>
    <w:p w14:paraId="0F27165C" w14:textId="5064BAA5" w:rsidR="00937110" w:rsidRPr="008A1067" w:rsidRDefault="002264CF" w:rsidP="00937110">
      <w:pPr>
        <w:rPr>
          <w:rFonts w:cs="Times New Roman"/>
          <w:szCs w:val="24"/>
        </w:rPr>
      </w:pPr>
      <w:r>
        <w:rPr>
          <w:rFonts w:eastAsia="Arial" w:cs="Times New Roman"/>
          <w:b/>
          <w:bCs/>
          <w:szCs w:val="24"/>
        </w:rPr>
        <w:t>3</w:t>
      </w:r>
      <w:r w:rsidR="00937110" w:rsidRPr="008A1067">
        <w:rPr>
          <w:rFonts w:eastAsia="Arial" w:cs="Times New Roman"/>
          <w:b/>
          <w:bCs/>
          <w:szCs w:val="24"/>
        </w:rPr>
        <w:t>.1. Distribución general de la evidencia</w:t>
      </w:r>
    </w:p>
    <w:p w14:paraId="361ACB7A" w14:textId="2B884FED" w:rsidR="0077714B" w:rsidRDefault="0077714B" w:rsidP="0077714B">
      <w:pPr>
        <w:rPr>
          <w:rFonts w:eastAsia="Arial" w:cs="Times New Roman"/>
          <w:szCs w:val="24"/>
        </w:rPr>
      </w:pPr>
      <w:r w:rsidRPr="008A1067">
        <w:rPr>
          <w:rFonts w:eastAsia="Arial" w:cs="Times New Roman"/>
          <w:szCs w:val="24"/>
        </w:rPr>
        <w:t>Del total de 3</w:t>
      </w:r>
      <w:r w:rsidR="00ED2DDA" w:rsidRPr="008A1067">
        <w:rPr>
          <w:rFonts w:eastAsia="Arial" w:cs="Times New Roman"/>
          <w:szCs w:val="24"/>
        </w:rPr>
        <w:t>6</w:t>
      </w:r>
      <w:r w:rsidRPr="008A1067">
        <w:rPr>
          <w:rFonts w:eastAsia="Arial" w:cs="Times New Roman"/>
          <w:szCs w:val="24"/>
        </w:rPr>
        <w:t xml:space="preserve"> </w:t>
      </w:r>
      <w:r w:rsidR="00EE1ED0" w:rsidRPr="008A1067">
        <w:rPr>
          <w:rFonts w:eastAsia="Arial" w:cs="Times New Roman"/>
          <w:szCs w:val="24"/>
        </w:rPr>
        <w:t>combinaciones</w:t>
      </w:r>
      <w:r w:rsidRPr="008A1067">
        <w:rPr>
          <w:rFonts w:eastAsia="Arial" w:cs="Times New Roman"/>
          <w:szCs w:val="24"/>
        </w:rPr>
        <w:t xml:space="preserve"> de la matriz, el 4</w:t>
      </w:r>
      <w:r w:rsidR="00ED2DDA" w:rsidRPr="008A1067">
        <w:rPr>
          <w:rFonts w:eastAsia="Arial" w:cs="Times New Roman"/>
          <w:szCs w:val="24"/>
        </w:rPr>
        <w:t>1,7</w:t>
      </w:r>
      <w:r w:rsidRPr="008A1067">
        <w:rPr>
          <w:rFonts w:eastAsia="Arial" w:cs="Times New Roman"/>
          <w:szCs w:val="24"/>
        </w:rPr>
        <w:t xml:space="preserve">% (n=15) de ellas presentó evidencias sólidas avaladas por tres o más estudios independientes que corroboraron la hipótesis correspondiente a cada celda, el </w:t>
      </w:r>
      <w:r w:rsidR="00ED2DDA" w:rsidRPr="008A1067">
        <w:rPr>
          <w:rFonts w:eastAsia="Arial" w:cs="Times New Roman"/>
          <w:szCs w:val="24"/>
        </w:rPr>
        <w:t>50</w:t>
      </w:r>
      <w:r w:rsidRPr="008A1067">
        <w:rPr>
          <w:rFonts w:eastAsia="Arial" w:cs="Times New Roman"/>
          <w:szCs w:val="24"/>
        </w:rPr>
        <w:t>% (n=1</w:t>
      </w:r>
      <w:r w:rsidR="00ED2DDA" w:rsidRPr="008A1067">
        <w:rPr>
          <w:rFonts w:eastAsia="Arial" w:cs="Times New Roman"/>
          <w:szCs w:val="24"/>
        </w:rPr>
        <w:t>8</w:t>
      </w:r>
      <w:r w:rsidRPr="008A1067">
        <w:rPr>
          <w:rFonts w:eastAsia="Arial" w:cs="Times New Roman"/>
          <w:szCs w:val="24"/>
        </w:rPr>
        <w:t xml:space="preserve">) evidencias limitadas que avalaban la hipótesis correspondiente a una o dos piezas de información, y el </w:t>
      </w:r>
      <w:r w:rsidR="00ED2DDA" w:rsidRPr="008A1067">
        <w:rPr>
          <w:rFonts w:eastAsia="Arial" w:cs="Times New Roman"/>
          <w:szCs w:val="24"/>
        </w:rPr>
        <w:t>8,</w:t>
      </w:r>
      <w:r w:rsidRPr="008A1067">
        <w:rPr>
          <w:rFonts w:eastAsia="Arial" w:cs="Times New Roman"/>
          <w:szCs w:val="24"/>
        </w:rPr>
        <w:t xml:space="preserve">3% (n=3) </w:t>
      </w:r>
      <w:r w:rsidR="00EE1ED0" w:rsidRPr="008A1067">
        <w:rPr>
          <w:rFonts w:eastAsia="Arial" w:cs="Times New Roman"/>
          <w:szCs w:val="24"/>
        </w:rPr>
        <w:t>combinaciones</w:t>
      </w:r>
      <w:r w:rsidRPr="008A1067">
        <w:rPr>
          <w:rFonts w:eastAsia="Arial" w:cs="Times New Roman"/>
          <w:szCs w:val="24"/>
        </w:rPr>
        <w:t xml:space="preserve"> que dieron lugar a combinaciones sin aplicabilidad pertinente. Las tres </w:t>
      </w:r>
      <w:r w:rsidR="00EE1ED0" w:rsidRPr="008A1067">
        <w:rPr>
          <w:rFonts w:eastAsia="Arial" w:cs="Times New Roman"/>
          <w:szCs w:val="24"/>
        </w:rPr>
        <w:t>combinaciones</w:t>
      </w:r>
      <w:r w:rsidRPr="008A1067">
        <w:rPr>
          <w:rFonts w:eastAsia="Arial" w:cs="Times New Roman"/>
          <w:szCs w:val="24"/>
        </w:rPr>
        <w:t xml:space="preserve"> que, como resultado de su proceso de análisis, acabarían clasificándose como no aplicables serían las siguientes: Contratación/Onboarding × Analítica Predictiva (donde los procesos administrativos que se llevan a cabo no requieren una predicción compleja), Remuneración × Gestión Estratégica (la formulación de una política salarial requiere del juicio humano y de la negociación), y Desvinculación × Analítica Predictiva (cuyo efecto es éticamente delicado y de alto riesgo de discordancia).</w:t>
      </w:r>
    </w:p>
    <w:p w14:paraId="276EF7FD" w14:textId="77777777" w:rsidR="00787C85" w:rsidRPr="008A1067" w:rsidRDefault="00787C85" w:rsidP="0077714B">
      <w:pPr>
        <w:rPr>
          <w:rFonts w:eastAsia="Arial" w:cs="Times New Roman"/>
          <w:szCs w:val="24"/>
        </w:rPr>
      </w:pPr>
    </w:p>
    <w:p w14:paraId="3CFCC643" w14:textId="4F24EEA7" w:rsidR="0077714B" w:rsidRPr="008A1067" w:rsidRDefault="002264CF" w:rsidP="0077714B">
      <w:pPr>
        <w:rPr>
          <w:rFonts w:eastAsia="Arial" w:cs="Times New Roman"/>
          <w:b/>
          <w:bCs/>
          <w:szCs w:val="24"/>
        </w:rPr>
      </w:pPr>
      <w:r>
        <w:rPr>
          <w:rFonts w:eastAsia="Arial" w:cs="Times New Roman"/>
          <w:b/>
          <w:bCs/>
          <w:szCs w:val="24"/>
        </w:rPr>
        <w:t>3</w:t>
      </w:r>
      <w:r w:rsidR="0077714B" w:rsidRPr="008A1067">
        <w:rPr>
          <w:rFonts w:eastAsia="Arial" w:cs="Times New Roman"/>
          <w:b/>
          <w:bCs/>
          <w:szCs w:val="24"/>
        </w:rPr>
        <w:t>.2. Subprocesos con mayor madurez en las adopciones de IA</w:t>
      </w:r>
    </w:p>
    <w:p w14:paraId="0B23550E" w14:textId="484EC1FF" w:rsidR="0077714B" w:rsidRPr="008A1067" w:rsidRDefault="0077714B" w:rsidP="0077714B">
      <w:pPr>
        <w:rPr>
          <w:rFonts w:eastAsia="Arial" w:cs="Times New Roman"/>
          <w:szCs w:val="24"/>
        </w:rPr>
      </w:pPr>
      <w:r w:rsidRPr="008A1067">
        <w:rPr>
          <w:rFonts w:eastAsia="Arial" w:cs="Times New Roman"/>
          <w:szCs w:val="24"/>
        </w:rPr>
        <w:t>Con relación a esta clase de información, el reclutamiento y la selección de personas son los subprocesos que presentan el mayor nivel de madurez. En reclutamiento, una evidencia sólida da cuenta de tres de los cuatro tipos de IA estudiados. Upadhyay y Khandelwal (2019) documentan que, a partir de la utilización de sistemas de screening automatizado, se llega a obtener reducciones de tiempo de contratación de hasta el 75% y de costes laborales de hasta un 71%. En selección, la evaluación automatizada de candidatos mediante entrevistas de vídeo analizando lenguaje no verbal y el matching predictivo, candidato-puesto, presentan evidencias sólidas en automatización, analítica predictiva y toma de decisiones asistida.</w:t>
      </w:r>
    </w:p>
    <w:p w14:paraId="3926692F" w14:textId="672C7AED" w:rsidR="00000301" w:rsidRPr="008A1067" w:rsidRDefault="0077714B" w:rsidP="00787C85">
      <w:pPr>
        <w:rPr>
          <w:rFonts w:eastAsia="Arial" w:cs="Times New Roman"/>
          <w:szCs w:val="24"/>
        </w:rPr>
      </w:pPr>
      <w:r w:rsidRPr="008A1067">
        <w:rPr>
          <w:rFonts w:eastAsia="Arial" w:cs="Times New Roman"/>
          <w:szCs w:val="24"/>
        </w:rPr>
        <w:t>Las formaciones y el desarrollo presentan evidencias sólidas en analítica predictiva —detección de gaps mediante la detección de brechas de capacidad, los planes de formación personalizados, la reducción del time-to-train en un 30% en el caso de DHL— pero también en la gestión estratégica —los mentores virtuales, las simulaciones interactivas, la gamificación inteligente—. La retención- bienestar que también presenta evidencias sólidas en analítica predictiva —la predicción de rotación laboral, la reducción en un 15% en el caso de vodafone— y en gestión estratégica —la detección de patrones conductuales de burnout, la personalización de programas de bienestar—.</w:t>
      </w:r>
    </w:p>
    <w:p w14:paraId="2DD940E2" w14:textId="137DEC61" w:rsidR="0077714B" w:rsidRPr="008A1067" w:rsidRDefault="002264CF" w:rsidP="0077714B">
      <w:pPr>
        <w:rPr>
          <w:rFonts w:eastAsia="Arial" w:cs="Times New Roman"/>
          <w:b/>
          <w:bCs/>
          <w:szCs w:val="24"/>
        </w:rPr>
      </w:pPr>
      <w:r>
        <w:rPr>
          <w:rFonts w:eastAsia="Arial" w:cs="Times New Roman"/>
          <w:b/>
          <w:bCs/>
          <w:szCs w:val="24"/>
        </w:rPr>
        <w:t>3</w:t>
      </w:r>
      <w:r w:rsidR="0077714B" w:rsidRPr="008A1067">
        <w:rPr>
          <w:rFonts w:eastAsia="Arial" w:cs="Times New Roman"/>
          <w:b/>
          <w:bCs/>
          <w:szCs w:val="24"/>
        </w:rPr>
        <w:t>.3. Beneficios transversales identificados</w:t>
      </w:r>
    </w:p>
    <w:p w14:paraId="46B1AD52" w14:textId="029AF9BE" w:rsidR="0077714B" w:rsidRPr="008A1067" w:rsidRDefault="0077714B" w:rsidP="0077714B">
      <w:pPr>
        <w:rPr>
          <w:rFonts w:eastAsia="Arial" w:cs="Times New Roman"/>
          <w:szCs w:val="24"/>
        </w:rPr>
      </w:pPr>
      <w:r w:rsidRPr="008A1067">
        <w:rPr>
          <w:rFonts w:eastAsia="Arial" w:cs="Times New Roman"/>
          <w:szCs w:val="24"/>
        </w:rPr>
        <w:t>Mediante el análisis de los nueve subprocesos se identificaron cuatro categorías de beneficios transversales: (1) mejora operativa, que se evidencia en reducciones en tiempos y costos en la contratación, nómina y desvinculación; (2) reducciones en sesgos humanos, que se documentan principalmente en selección y evaluación del desempeño; (3) personalización que es visible en la formación con programas de rutas adaptativas y en retención con programas de bienestar individualizados; (4) trazabilidad de decisiones, que institucionaliza la rendición de cuentas en contratación, evaluación y desvinculación.</w:t>
      </w:r>
    </w:p>
    <w:p w14:paraId="14C02316" w14:textId="5BB86BFE" w:rsidR="00937110" w:rsidRPr="008A1067" w:rsidRDefault="002264CF" w:rsidP="00937110">
      <w:pPr>
        <w:rPr>
          <w:rFonts w:cs="Times New Roman"/>
          <w:szCs w:val="24"/>
        </w:rPr>
      </w:pPr>
      <w:r>
        <w:rPr>
          <w:rFonts w:eastAsia="Arial" w:cs="Times New Roman"/>
          <w:b/>
          <w:bCs/>
          <w:szCs w:val="24"/>
        </w:rPr>
        <w:t>3</w:t>
      </w:r>
      <w:r w:rsidR="00937110" w:rsidRPr="008A1067">
        <w:rPr>
          <w:rFonts w:eastAsia="Arial" w:cs="Times New Roman"/>
          <w:b/>
          <w:bCs/>
          <w:szCs w:val="24"/>
        </w:rPr>
        <w:t>.4. Obstáculos y riesgos predominantes</w:t>
      </w:r>
    </w:p>
    <w:p w14:paraId="28F89B9D" w14:textId="77777777" w:rsidR="0077714B" w:rsidRPr="008A1067" w:rsidRDefault="0077714B" w:rsidP="0077714B">
      <w:pPr>
        <w:rPr>
          <w:rFonts w:eastAsia="Arial" w:cs="Times New Roman"/>
          <w:szCs w:val="24"/>
        </w:rPr>
      </w:pPr>
      <w:r w:rsidRPr="008A1067">
        <w:rPr>
          <w:rFonts w:eastAsia="Arial" w:cs="Times New Roman"/>
          <w:szCs w:val="24"/>
        </w:rPr>
        <w:t>Los principales obstáculos son la resistencia de la organización al cambio, las brechas digitales entre las personas que trabajan en la organización, los altos costes de la inversión inicial y la dificultad de la integración con los sistemas tradicionales. Dantas (2025) plantea que el principal obstáculo no es el tecnológico sino es el cultural: la falta de un plan de transformación digital centrado en las personas conduce a una baja adopción de los sistemas, aunque la organización tenga la capacidad técnica para llevarla a cabo.</w:t>
      </w:r>
    </w:p>
    <w:p w14:paraId="53BDBD74" w14:textId="289C21A1" w:rsidR="0077714B" w:rsidRDefault="0077714B" w:rsidP="0077714B">
      <w:pPr>
        <w:rPr>
          <w:rFonts w:eastAsia="Arial" w:cs="Times New Roman"/>
          <w:szCs w:val="24"/>
        </w:rPr>
      </w:pPr>
      <w:r w:rsidRPr="008A1067">
        <w:rPr>
          <w:rFonts w:eastAsia="Arial" w:cs="Times New Roman"/>
          <w:szCs w:val="24"/>
        </w:rPr>
        <w:t>Los riesgos más importantes son el sesgo algorítmico, la discriminación por proxy en un contexto de selección y evaluación; los riesgos psicosociales en los sistemas de evaluación del rendimiento como médico de las personas trabajadoras por medio de la ansiedad, la percepción de injusticia, la vigilancia; el etiquetado en las personas trabajadoras en el contexto de la retención; y la pérdida del contacto humano en los sistemas de onboarding y de retribución. Tovar (2023) documenta que los sistemas de monitorización continua sin mecanismos de retroalimentación, de transparencia, acaban dañando el clima laboral y aumentando el estrés relacionado con el trabajo.</w:t>
      </w:r>
    </w:p>
    <w:p w14:paraId="08C2F888" w14:textId="3AC5211E" w:rsidR="00787C85" w:rsidRDefault="00787C85" w:rsidP="0077714B">
      <w:pPr>
        <w:rPr>
          <w:rFonts w:eastAsia="Arial" w:cs="Times New Roman"/>
          <w:szCs w:val="24"/>
        </w:rPr>
      </w:pPr>
    </w:p>
    <w:p w14:paraId="37946014" w14:textId="77777777" w:rsidR="00787C85" w:rsidRPr="008A1067" w:rsidRDefault="00787C85" w:rsidP="0077714B">
      <w:pPr>
        <w:rPr>
          <w:rFonts w:eastAsia="Arial" w:cs="Times New Roman"/>
          <w:szCs w:val="24"/>
        </w:rPr>
      </w:pPr>
    </w:p>
    <w:p w14:paraId="6D1DBB02" w14:textId="77777777" w:rsidR="00787C85" w:rsidRDefault="002264CF" w:rsidP="00937110">
      <w:pPr>
        <w:rPr>
          <w:rFonts w:eastAsia="Arial" w:cs="Times New Roman"/>
          <w:b/>
          <w:bCs/>
          <w:szCs w:val="24"/>
        </w:rPr>
      </w:pPr>
      <w:r>
        <w:rPr>
          <w:rFonts w:eastAsia="Arial" w:cs="Times New Roman"/>
          <w:b/>
          <w:bCs/>
          <w:szCs w:val="24"/>
        </w:rPr>
        <w:t>3</w:t>
      </w:r>
      <w:r w:rsidR="00937110" w:rsidRPr="008A1067">
        <w:rPr>
          <w:rFonts w:eastAsia="Arial" w:cs="Times New Roman"/>
          <w:b/>
          <w:bCs/>
          <w:szCs w:val="24"/>
        </w:rPr>
        <w:t>.5. Vacíos de investigación identificados</w:t>
      </w:r>
    </w:p>
    <w:p w14:paraId="16822E31" w14:textId="0A90B934" w:rsidR="00937110" w:rsidRPr="008A1067" w:rsidRDefault="00937110" w:rsidP="00937110">
      <w:pPr>
        <w:rPr>
          <w:rFonts w:cs="Times New Roman"/>
          <w:szCs w:val="24"/>
        </w:rPr>
      </w:pPr>
      <w:r w:rsidRPr="008A1067">
        <w:rPr>
          <w:rFonts w:eastAsia="Arial" w:cs="Times New Roman"/>
          <w:szCs w:val="24"/>
        </w:rPr>
        <w:t>La revisión identificó cinco vacíos de investigación prioritarios: escasez de estudios en contextos latinoamericanos (menos del 12% de la literatura regional aborda IA en GTH, OCTS 2023); ausencia de evidencia específica para PYMES; carencia de estudios longitudinales sobre impacto a largo plazo; área de compensación estratégica poco explorada académicamente; y vacío ético y metodológico en la predicción de desvinculaciones.</w:t>
      </w:r>
    </w:p>
    <w:p w14:paraId="1B32CA1F" w14:textId="36D0CDEC" w:rsidR="00937110" w:rsidRPr="008A1067" w:rsidRDefault="002264CF" w:rsidP="00937110">
      <w:pPr>
        <w:rPr>
          <w:rFonts w:cs="Times New Roman"/>
          <w:szCs w:val="24"/>
        </w:rPr>
      </w:pPr>
      <w:r>
        <w:rPr>
          <w:rFonts w:eastAsia="Arial" w:cs="Times New Roman"/>
          <w:b/>
          <w:bCs/>
          <w:szCs w:val="24"/>
        </w:rPr>
        <w:t>4</w:t>
      </w:r>
      <w:r w:rsidR="00937110" w:rsidRPr="008A1067">
        <w:rPr>
          <w:rFonts w:eastAsia="Arial" w:cs="Times New Roman"/>
          <w:b/>
          <w:bCs/>
          <w:szCs w:val="24"/>
        </w:rPr>
        <w:t>. Discusión</w:t>
      </w:r>
    </w:p>
    <w:p w14:paraId="089235B2" w14:textId="39C178C3" w:rsidR="0077714B" w:rsidRPr="008A1067" w:rsidRDefault="007C129A" w:rsidP="0077714B">
      <w:pPr>
        <w:rPr>
          <w:rFonts w:eastAsia="Arial" w:cs="Times New Roman"/>
          <w:szCs w:val="24"/>
        </w:rPr>
      </w:pPr>
      <w:r w:rsidRPr="008A1067">
        <w:rPr>
          <w:rFonts w:eastAsia="Arial" w:cs="Times New Roman"/>
          <w:szCs w:val="24"/>
        </w:rPr>
        <w:t>Los hallazgos confirman que la IA es un recurso estra</w:t>
      </w:r>
      <w:r w:rsidR="000E4827" w:rsidRPr="008A1067">
        <w:rPr>
          <w:rFonts w:eastAsia="Arial" w:cs="Times New Roman"/>
          <w:szCs w:val="24"/>
        </w:rPr>
        <w:t>tégico para la GTH. Sin embargo, su implementación responsable exige condiciones que trascienden lo técnico. Siguiendo a Jarrahi (2023), la IA debe entenderse como un sistema de cooperación humano-máquina. En este marco, la supervisión humana no es un obstáculo, sino la condición necesaria para legitimar las decisiones organizacionales.</w:t>
      </w:r>
    </w:p>
    <w:p w14:paraId="6C22A81B" w14:textId="246DA4EA" w:rsidR="0077714B" w:rsidRPr="008A1067" w:rsidRDefault="000E4827" w:rsidP="0077714B">
      <w:pPr>
        <w:rPr>
          <w:rFonts w:eastAsia="Arial" w:cs="Times New Roman"/>
          <w:szCs w:val="24"/>
        </w:rPr>
      </w:pPr>
      <w:r w:rsidRPr="008A1067">
        <w:rPr>
          <w:rFonts w:eastAsia="Arial" w:cs="Times New Roman"/>
          <w:szCs w:val="24"/>
        </w:rPr>
        <w:t xml:space="preserve"> Mientras existe amplia literatura sobre IA en reclutamiento y selección, los estudios sobre remuneración estratégica y desvinculación son escasos. </w:t>
      </w:r>
      <w:r w:rsidR="0077714B" w:rsidRPr="008A1067">
        <w:rPr>
          <w:rFonts w:eastAsia="Arial" w:cs="Times New Roman"/>
          <w:szCs w:val="24"/>
        </w:rPr>
        <w:t>Esta asimetría podría explicarse por consideraciones éticas, por la sensibilidad de los datos involucrados y por la propia tradición de reservar algunas decisiones al exclusivo criterio humano. Para las organizaciones del entorno medioambiental, esto supone dar prevalencia a los subsistemas con más madurez y evidencia, demorando aquellos con mayor riesgo hasta que se pueda contar con marcos de gobernanza adecuados.</w:t>
      </w:r>
    </w:p>
    <w:p w14:paraId="0F8AA2CE" w14:textId="4B6D1E0C" w:rsidR="0077714B" w:rsidRPr="008A1067" w:rsidRDefault="0077714B" w:rsidP="0077714B">
      <w:pPr>
        <w:rPr>
          <w:rFonts w:eastAsia="Arial" w:cs="Times New Roman"/>
          <w:szCs w:val="24"/>
        </w:rPr>
      </w:pPr>
      <w:r w:rsidRPr="008A1067">
        <w:rPr>
          <w:rFonts w:eastAsia="Arial" w:cs="Times New Roman"/>
          <w:szCs w:val="24"/>
        </w:rPr>
        <w:t xml:space="preserve">En la perspectiva del contexto local, la contraposición de los hallazgos en el mundo y en el contexto latinoamericano muestra que la brecha no es únicamente tecnológica. Londoño y Hernández (2023) documentan que los países de la región presentan dificultades por los escasos logros en inversión tecnológica, la pobre preparación digital de la fuerza de trabajo y la resistencia al cambio. </w:t>
      </w:r>
    </w:p>
    <w:p w14:paraId="15ADDEB3" w14:textId="48B04259" w:rsidR="00937110" w:rsidRPr="008A1067" w:rsidRDefault="002264CF" w:rsidP="00937110">
      <w:pPr>
        <w:rPr>
          <w:rFonts w:cs="Times New Roman"/>
          <w:szCs w:val="24"/>
        </w:rPr>
      </w:pPr>
      <w:r>
        <w:rPr>
          <w:rFonts w:eastAsia="Arial" w:cs="Times New Roman"/>
          <w:b/>
          <w:bCs/>
          <w:szCs w:val="24"/>
        </w:rPr>
        <w:t>5</w:t>
      </w:r>
      <w:r w:rsidR="00937110" w:rsidRPr="008A1067">
        <w:rPr>
          <w:rFonts w:eastAsia="Arial" w:cs="Times New Roman"/>
          <w:b/>
          <w:bCs/>
          <w:szCs w:val="24"/>
        </w:rPr>
        <w:t>. Conclusiones</w:t>
      </w:r>
    </w:p>
    <w:p w14:paraId="3138957A" w14:textId="14D31D58" w:rsidR="000E4827" w:rsidRPr="008A1067" w:rsidRDefault="000E4827" w:rsidP="0077714B">
      <w:pPr>
        <w:rPr>
          <w:rFonts w:eastAsia="Arial" w:cs="Times New Roman"/>
          <w:szCs w:val="24"/>
        </w:rPr>
      </w:pPr>
      <w:r w:rsidRPr="008A1067">
        <w:rPr>
          <w:rFonts w:eastAsia="Arial" w:cs="Times New Roman"/>
          <w:szCs w:val="24"/>
        </w:rPr>
        <w:t>La investigación responde afirmativamente a la pregunta inicial. La IA incide significativamente en la GTH, mejorando la eficiencia, reduciendo sesgos y personalizando procesos. No obstante, estos beneficios dependen de tres factores: gobernanza de datos, supervisión humana y culturas organizacionales abiertas al cambio.</w:t>
      </w:r>
    </w:p>
    <w:p w14:paraId="3DE7A6BE" w14:textId="7E02B8F4" w:rsidR="0077714B" w:rsidRPr="008A1067" w:rsidRDefault="000E4827" w:rsidP="0077714B">
      <w:pPr>
        <w:rPr>
          <w:rFonts w:eastAsia="Arial" w:cs="Times New Roman"/>
          <w:szCs w:val="24"/>
        </w:rPr>
      </w:pPr>
      <w:r w:rsidRPr="008A1067">
        <w:rPr>
          <w:rFonts w:eastAsia="Arial" w:cs="Times New Roman"/>
          <w:szCs w:val="24"/>
        </w:rPr>
        <w:t xml:space="preserve">El reclutamiento, la selección y la retención muestran mayor madurez en la aplicación de IA, con evidencias robustas y múltiples modalidades tecnológicas. </w:t>
      </w:r>
      <w:r w:rsidR="0077714B" w:rsidRPr="008A1067">
        <w:rPr>
          <w:rFonts w:eastAsia="Arial" w:cs="Times New Roman"/>
          <w:szCs w:val="24"/>
        </w:rPr>
        <w:t>Los subprocesos de remuneración estratégica y la desvinculación predictiva emergen como vacíos prioritarios de investigación, sobre todo en el contexto latinoamericano. La evaluación del desempeño se posiciona como el subproceso propenso a concentrar mayores riesgos éticos y psicosociales, lo cual supone un motivo de especial cautela en su aplicación.</w:t>
      </w:r>
    </w:p>
    <w:p w14:paraId="7B0005D2" w14:textId="0F5B514F" w:rsidR="0077714B" w:rsidRPr="008A1067" w:rsidRDefault="0077714B" w:rsidP="0077714B">
      <w:pPr>
        <w:rPr>
          <w:rFonts w:eastAsia="Arial" w:cs="Times New Roman"/>
          <w:szCs w:val="24"/>
        </w:rPr>
      </w:pPr>
      <w:r w:rsidRPr="008A1067">
        <w:rPr>
          <w:rFonts w:eastAsia="Arial" w:cs="Times New Roman"/>
          <w:szCs w:val="24"/>
        </w:rPr>
        <w:t xml:space="preserve">Considerando los hallazgos para las organizaciones del AMB, una posible estrategia para la implementación tiene la forma de una implementación por fases: iniciar con los subprocesos de mayor evidencia y menor riesgo (reclutamiento automatizado, gestión de nómina, capacitación personalizada), establecer capacidades de gobernanza de datos y alfabetización digital como base y, reformar progresivamente hacia las aplicaciones predictivas y estratégicas, una vez se encuentran consolidados los fundamentos éticos y técnicos. </w:t>
      </w:r>
      <w:r w:rsidR="000E4827" w:rsidRPr="008A1067">
        <w:rPr>
          <w:rFonts w:eastAsia="Arial" w:cs="Times New Roman"/>
          <w:szCs w:val="24"/>
        </w:rPr>
        <w:t>En definitiva, la IA no sustituye la gestión humana. Por el contrario, la transforma: amplía su capacidad analítica y orienta las decisiones hacia criterios más informados, equitativos y sostenibles.</w:t>
      </w:r>
    </w:p>
    <w:p w14:paraId="30AF87DB" w14:textId="119E0F03" w:rsidR="00B91187" w:rsidRDefault="00B91187" w:rsidP="0077714B">
      <w:pPr>
        <w:rPr>
          <w:rFonts w:eastAsia="Arial" w:cs="Times New Roman"/>
          <w:szCs w:val="24"/>
        </w:rPr>
      </w:pPr>
    </w:p>
    <w:p w14:paraId="77B29EE2" w14:textId="1A86382B" w:rsidR="00000301" w:rsidRDefault="00000301" w:rsidP="0077714B">
      <w:pPr>
        <w:rPr>
          <w:rFonts w:eastAsia="Arial" w:cs="Times New Roman"/>
          <w:szCs w:val="24"/>
        </w:rPr>
      </w:pPr>
    </w:p>
    <w:p w14:paraId="2A258B09" w14:textId="7D53A1B2" w:rsidR="00000301" w:rsidRDefault="00000301" w:rsidP="0077714B">
      <w:pPr>
        <w:rPr>
          <w:rFonts w:eastAsia="Arial" w:cs="Times New Roman"/>
          <w:szCs w:val="24"/>
        </w:rPr>
      </w:pPr>
    </w:p>
    <w:p w14:paraId="0C6F2A2B" w14:textId="1FB17AE1" w:rsidR="00000301" w:rsidRDefault="00000301" w:rsidP="0077714B">
      <w:pPr>
        <w:rPr>
          <w:rFonts w:eastAsia="Arial" w:cs="Times New Roman"/>
          <w:szCs w:val="24"/>
        </w:rPr>
      </w:pPr>
    </w:p>
    <w:p w14:paraId="76C3D99C" w14:textId="528027A3" w:rsidR="00000301" w:rsidRDefault="00000301" w:rsidP="0077714B">
      <w:pPr>
        <w:rPr>
          <w:rFonts w:eastAsia="Arial" w:cs="Times New Roman"/>
          <w:szCs w:val="24"/>
        </w:rPr>
      </w:pPr>
    </w:p>
    <w:p w14:paraId="197D7CB2" w14:textId="7E258264" w:rsidR="00000301" w:rsidRDefault="00000301" w:rsidP="0077714B">
      <w:pPr>
        <w:rPr>
          <w:rFonts w:eastAsia="Arial" w:cs="Times New Roman"/>
          <w:szCs w:val="24"/>
        </w:rPr>
      </w:pPr>
    </w:p>
    <w:p w14:paraId="00082C58" w14:textId="5499E2BE" w:rsidR="00000301" w:rsidRDefault="00000301" w:rsidP="0077714B">
      <w:pPr>
        <w:rPr>
          <w:rFonts w:eastAsia="Arial" w:cs="Times New Roman"/>
          <w:szCs w:val="24"/>
        </w:rPr>
      </w:pPr>
    </w:p>
    <w:p w14:paraId="2E9C6466" w14:textId="40C46835" w:rsidR="00000301" w:rsidRDefault="00000301" w:rsidP="0077714B">
      <w:pPr>
        <w:rPr>
          <w:rFonts w:eastAsia="Arial" w:cs="Times New Roman"/>
          <w:szCs w:val="24"/>
        </w:rPr>
      </w:pPr>
    </w:p>
    <w:p w14:paraId="49DE9A36" w14:textId="7B6AE88D" w:rsidR="00000301" w:rsidRDefault="00000301" w:rsidP="0077714B">
      <w:pPr>
        <w:rPr>
          <w:rFonts w:eastAsia="Arial" w:cs="Times New Roman"/>
          <w:szCs w:val="24"/>
        </w:rPr>
      </w:pPr>
    </w:p>
    <w:p w14:paraId="4F685259" w14:textId="702BF42D" w:rsidR="00832078" w:rsidRDefault="00832078" w:rsidP="0077714B">
      <w:pPr>
        <w:rPr>
          <w:rFonts w:eastAsia="Arial" w:cs="Times New Roman"/>
          <w:szCs w:val="24"/>
        </w:rPr>
      </w:pPr>
    </w:p>
    <w:p w14:paraId="1CEC2DFB" w14:textId="5A05A74B" w:rsidR="00832078" w:rsidRDefault="00832078" w:rsidP="0077714B">
      <w:pPr>
        <w:rPr>
          <w:rFonts w:eastAsia="Arial" w:cs="Times New Roman"/>
          <w:szCs w:val="24"/>
        </w:rPr>
      </w:pPr>
    </w:p>
    <w:p w14:paraId="25EFD425" w14:textId="5236B37C" w:rsidR="00C014C3" w:rsidRDefault="00C014C3" w:rsidP="0077714B">
      <w:pPr>
        <w:rPr>
          <w:rFonts w:eastAsia="Arial" w:cs="Times New Roman"/>
          <w:szCs w:val="24"/>
        </w:rPr>
      </w:pPr>
    </w:p>
    <w:p w14:paraId="17907C2F" w14:textId="77777777" w:rsidR="00787C85" w:rsidRDefault="00787C85" w:rsidP="0077714B">
      <w:pPr>
        <w:rPr>
          <w:rFonts w:eastAsia="Arial" w:cs="Times New Roman"/>
          <w:szCs w:val="24"/>
        </w:rPr>
      </w:pPr>
    </w:p>
    <w:p w14:paraId="4B380E55" w14:textId="1E50AE06" w:rsidR="00000301" w:rsidRDefault="00000301" w:rsidP="0077714B">
      <w:pPr>
        <w:rPr>
          <w:rFonts w:eastAsia="Arial" w:cs="Times New Roman"/>
          <w:szCs w:val="24"/>
        </w:rPr>
      </w:pPr>
    </w:p>
    <w:p w14:paraId="1830E1F1" w14:textId="77777777" w:rsidR="002264CF" w:rsidRDefault="002264CF" w:rsidP="0077714B">
      <w:pPr>
        <w:rPr>
          <w:rFonts w:eastAsia="Arial" w:cs="Times New Roman"/>
          <w:szCs w:val="24"/>
        </w:rPr>
      </w:pPr>
    </w:p>
    <w:p w14:paraId="20E8F959" w14:textId="24B29656" w:rsidR="00000301" w:rsidRDefault="00000301" w:rsidP="0077714B">
      <w:pPr>
        <w:rPr>
          <w:rFonts w:eastAsia="Arial" w:cs="Times New Roman"/>
          <w:szCs w:val="24"/>
        </w:rPr>
      </w:pPr>
    </w:p>
    <w:p w14:paraId="1E5C575F" w14:textId="26589226" w:rsidR="00832078" w:rsidRPr="002264CF" w:rsidRDefault="00000301" w:rsidP="002264CF">
      <w:pPr>
        <w:ind w:firstLine="0"/>
        <w:jc w:val="center"/>
        <w:rPr>
          <w:rFonts w:eastAsia="Arial" w:cs="Times New Roman"/>
          <w:b/>
          <w:bCs/>
          <w:szCs w:val="24"/>
          <w:lang w:val="en-US"/>
        </w:rPr>
      </w:pPr>
      <w:r w:rsidRPr="00301E50">
        <w:rPr>
          <w:rFonts w:eastAsia="Arial" w:cs="Times New Roman"/>
          <w:b/>
          <w:bCs/>
          <w:szCs w:val="24"/>
          <w:lang w:val="en-US"/>
        </w:rPr>
        <w:t>REFERENCIAS BIBLIOGRÁFICAS</w:t>
      </w:r>
    </w:p>
    <w:p w14:paraId="7AFE301E" w14:textId="77777777" w:rsidR="00000301" w:rsidRPr="00620E81" w:rsidRDefault="00000301" w:rsidP="00000301">
      <w:pPr>
        <w:pStyle w:val="Textoindependiente"/>
        <w:spacing w:before="78"/>
        <w:ind w:left="709" w:hanging="709"/>
        <w:rPr>
          <w:lang w:val="en-US"/>
        </w:rPr>
      </w:pPr>
      <w:r w:rsidRPr="00620E81">
        <w:rPr>
          <w:lang w:val="en-US"/>
        </w:rPr>
        <w:t>Dantas,</w:t>
      </w:r>
      <w:r w:rsidRPr="00620E81">
        <w:rPr>
          <w:spacing w:val="-5"/>
          <w:lang w:val="en-US"/>
        </w:rPr>
        <w:t xml:space="preserve"> </w:t>
      </w:r>
      <w:r w:rsidRPr="00620E81">
        <w:rPr>
          <w:lang w:val="en-US"/>
        </w:rPr>
        <w:t>M.</w:t>
      </w:r>
      <w:r w:rsidRPr="00620E81">
        <w:rPr>
          <w:spacing w:val="-4"/>
          <w:lang w:val="en-US"/>
        </w:rPr>
        <w:t xml:space="preserve"> </w:t>
      </w:r>
      <w:r w:rsidRPr="00620E81">
        <w:rPr>
          <w:lang w:val="en-US"/>
        </w:rPr>
        <w:t>(2025).</w:t>
      </w:r>
      <w:r w:rsidRPr="00620E81">
        <w:rPr>
          <w:spacing w:val="-15"/>
          <w:lang w:val="en-US"/>
        </w:rPr>
        <w:t xml:space="preserve"> </w:t>
      </w:r>
      <w:r w:rsidRPr="00620E81">
        <w:rPr>
          <w:lang w:val="en-US"/>
        </w:rPr>
        <w:t>Artificial</w:t>
      </w:r>
      <w:r w:rsidRPr="00620E81">
        <w:rPr>
          <w:spacing w:val="-5"/>
          <w:lang w:val="en-US"/>
        </w:rPr>
        <w:t xml:space="preserve"> </w:t>
      </w:r>
      <w:r w:rsidRPr="00620E81">
        <w:rPr>
          <w:lang w:val="en-US"/>
        </w:rPr>
        <w:t>intelligence</w:t>
      </w:r>
      <w:r w:rsidRPr="00620E81">
        <w:rPr>
          <w:spacing w:val="-4"/>
          <w:lang w:val="en-US"/>
        </w:rPr>
        <w:t xml:space="preserve"> </w:t>
      </w:r>
      <w:r w:rsidRPr="00620E81">
        <w:rPr>
          <w:lang w:val="en-US"/>
        </w:rPr>
        <w:t>in</w:t>
      </w:r>
      <w:r w:rsidRPr="00620E81">
        <w:rPr>
          <w:spacing w:val="-4"/>
          <w:lang w:val="en-US"/>
        </w:rPr>
        <w:t xml:space="preserve"> </w:t>
      </w:r>
      <w:r w:rsidRPr="00620E81">
        <w:rPr>
          <w:lang w:val="en-US"/>
        </w:rPr>
        <w:t>human</w:t>
      </w:r>
      <w:r w:rsidRPr="00620E81">
        <w:rPr>
          <w:spacing w:val="-4"/>
          <w:lang w:val="en-US"/>
        </w:rPr>
        <w:t xml:space="preserve"> </w:t>
      </w:r>
      <w:r w:rsidRPr="00620E81">
        <w:rPr>
          <w:lang w:val="en-US"/>
        </w:rPr>
        <w:t>resource</w:t>
      </w:r>
      <w:r w:rsidRPr="00620E81">
        <w:rPr>
          <w:spacing w:val="-5"/>
          <w:lang w:val="en-US"/>
        </w:rPr>
        <w:t xml:space="preserve"> </w:t>
      </w:r>
      <w:r w:rsidRPr="00620E81">
        <w:rPr>
          <w:lang w:val="en-US"/>
        </w:rPr>
        <w:t>management:</w:t>
      </w:r>
      <w:r w:rsidRPr="00620E81">
        <w:rPr>
          <w:spacing w:val="-9"/>
          <w:lang w:val="en-US"/>
        </w:rPr>
        <w:t xml:space="preserve"> </w:t>
      </w:r>
      <w:r w:rsidRPr="00620E81">
        <w:rPr>
          <w:lang w:val="en-US"/>
        </w:rPr>
        <w:t>Trends</w:t>
      </w:r>
      <w:r w:rsidRPr="00620E81">
        <w:rPr>
          <w:spacing w:val="-5"/>
          <w:lang w:val="en-US"/>
        </w:rPr>
        <w:t xml:space="preserve"> </w:t>
      </w:r>
      <w:r w:rsidRPr="00620E81">
        <w:rPr>
          <w:lang w:val="en-US"/>
        </w:rPr>
        <w:t>and ethical challenges. Journal of Business Research, 170, 114–128.</w:t>
      </w:r>
    </w:p>
    <w:p w14:paraId="0488EEBB" w14:textId="77777777" w:rsidR="00000301" w:rsidRPr="005D72CD" w:rsidRDefault="00000301" w:rsidP="00000301">
      <w:pPr>
        <w:pStyle w:val="Textoindependiente"/>
        <w:spacing w:before="160"/>
        <w:ind w:left="709" w:hanging="709"/>
        <w:rPr>
          <w:lang w:val="es-CO"/>
        </w:rPr>
      </w:pPr>
      <w:r w:rsidRPr="00620E81">
        <w:rPr>
          <w:lang w:val="en-US"/>
        </w:rPr>
        <w:t>Fountaine, T., McCarthy, B., &amp; Saleh, T. (2019). Building the AI-powered organization. </w:t>
      </w:r>
      <w:r w:rsidRPr="005D72CD">
        <w:rPr>
          <w:i/>
          <w:lang w:val="es-CO"/>
        </w:rPr>
        <w:t>Harvard business review</w:t>
      </w:r>
      <w:r w:rsidRPr="005D72CD">
        <w:rPr>
          <w:lang w:val="es-CO"/>
        </w:rPr>
        <w:t>, </w:t>
      </w:r>
      <w:r w:rsidRPr="005D72CD">
        <w:rPr>
          <w:i/>
          <w:lang w:val="es-CO"/>
        </w:rPr>
        <w:t>97</w:t>
      </w:r>
      <w:r w:rsidRPr="005D72CD">
        <w:rPr>
          <w:lang w:val="es-CO"/>
        </w:rPr>
        <w:t>(4), 62-73.</w:t>
      </w:r>
    </w:p>
    <w:p w14:paraId="143B2AEB" w14:textId="77777777" w:rsidR="00000301" w:rsidRPr="00620E81" w:rsidRDefault="00000301" w:rsidP="00000301">
      <w:pPr>
        <w:pStyle w:val="Textoindependiente"/>
        <w:spacing w:before="160"/>
        <w:ind w:left="709" w:hanging="709"/>
      </w:pPr>
      <w:r w:rsidRPr="00620E81">
        <w:t>González</w:t>
      </w:r>
      <w:r w:rsidRPr="00620E81">
        <w:rPr>
          <w:spacing w:val="-3"/>
        </w:rPr>
        <w:t xml:space="preserve"> </w:t>
      </w:r>
      <w:r w:rsidRPr="00620E81">
        <w:t>García,</w:t>
      </w:r>
      <w:r w:rsidRPr="00620E81">
        <w:rPr>
          <w:spacing w:val="-3"/>
        </w:rPr>
        <w:t xml:space="preserve"> </w:t>
      </w:r>
      <w:r w:rsidRPr="00620E81">
        <w:t>C.</w:t>
      </w:r>
      <w:r w:rsidRPr="00620E81">
        <w:rPr>
          <w:spacing w:val="-3"/>
        </w:rPr>
        <w:t xml:space="preserve"> </w:t>
      </w:r>
      <w:r w:rsidRPr="00620E81">
        <w:t>(2023).</w:t>
      </w:r>
      <w:r w:rsidRPr="00620E81">
        <w:rPr>
          <w:spacing w:val="-3"/>
        </w:rPr>
        <w:t xml:space="preserve"> </w:t>
      </w:r>
      <w:r w:rsidRPr="00620E81">
        <w:t>Impacto</w:t>
      </w:r>
      <w:r w:rsidRPr="00620E81">
        <w:rPr>
          <w:spacing w:val="-4"/>
        </w:rPr>
        <w:t xml:space="preserve"> </w:t>
      </w:r>
      <w:r w:rsidRPr="00620E81">
        <w:t>de</w:t>
      </w:r>
      <w:r w:rsidRPr="00620E81">
        <w:rPr>
          <w:spacing w:val="-3"/>
        </w:rPr>
        <w:t xml:space="preserve"> </w:t>
      </w:r>
      <w:r w:rsidRPr="00620E81">
        <w:t>la</w:t>
      </w:r>
      <w:r w:rsidRPr="00620E81">
        <w:rPr>
          <w:spacing w:val="-3"/>
        </w:rPr>
        <w:t xml:space="preserve"> </w:t>
      </w:r>
      <w:r w:rsidRPr="00620E81">
        <w:t>inteligencia</w:t>
      </w:r>
      <w:r w:rsidRPr="00620E81">
        <w:rPr>
          <w:spacing w:val="-3"/>
        </w:rPr>
        <w:t xml:space="preserve"> </w:t>
      </w:r>
      <w:r w:rsidRPr="00620E81">
        <w:t>artificial</w:t>
      </w:r>
      <w:r w:rsidRPr="00620E81">
        <w:rPr>
          <w:spacing w:val="-3"/>
        </w:rPr>
        <w:t xml:space="preserve"> </w:t>
      </w:r>
      <w:r w:rsidRPr="00620E81">
        <w:t>en</w:t>
      </w:r>
      <w:r w:rsidRPr="00620E81">
        <w:rPr>
          <w:spacing w:val="-3"/>
        </w:rPr>
        <w:t xml:space="preserve"> </w:t>
      </w:r>
      <w:r w:rsidRPr="00620E81">
        <w:t>la</w:t>
      </w:r>
      <w:r w:rsidRPr="00620E81">
        <w:rPr>
          <w:spacing w:val="-3"/>
        </w:rPr>
        <w:t xml:space="preserve"> </w:t>
      </w:r>
      <w:r w:rsidRPr="00620E81">
        <w:t>toma</w:t>
      </w:r>
      <w:r w:rsidRPr="00620E81">
        <w:rPr>
          <w:spacing w:val="-3"/>
        </w:rPr>
        <w:t xml:space="preserve"> </w:t>
      </w:r>
      <w:r w:rsidRPr="00620E81">
        <w:t>de</w:t>
      </w:r>
      <w:r w:rsidRPr="00620E81">
        <w:rPr>
          <w:spacing w:val="-3"/>
        </w:rPr>
        <w:t xml:space="preserve"> </w:t>
      </w:r>
      <w:r w:rsidRPr="00620E81">
        <w:t>decisiones de selección de personal: Una revisión integrativa.</w:t>
      </w:r>
    </w:p>
    <w:p w14:paraId="3CEA2894" w14:textId="77777777" w:rsidR="00000301" w:rsidRPr="00620E81" w:rsidRDefault="00000301" w:rsidP="00000301">
      <w:pPr>
        <w:pStyle w:val="Textoindependiente"/>
        <w:spacing w:before="160"/>
        <w:ind w:left="709" w:hanging="709"/>
      </w:pPr>
      <w:r w:rsidRPr="00620E81">
        <w:rPr>
          <w:lang w:val="en-US"/>
        </w:rPr>
        <w:t>Jarrahi,</w:t>
      </w:r>
      <w:r w:rsidRPr="00620E81">
        <w:rPr>
          <w:spacing w:val="-3"/>
          <w:lang w:val="en-US"/>
        </w:rPr>
        <w:t xml:space="preserve"> </w:t>
      </w:r>
      <w:r w:rsidRPr="00620E81">
        <w:rPr>
          <w:lang w:val="en-US"/>
        </w:rPr>
        <w:t>M.</w:t>
      </w:r>
      <w:r w:rsidRPr="00620E81">
        <w:rPr>
          <w:spacing w:val="-4"/>
          <w:lang w:val="en-US"/>
        </w:rPr>
        <w:t xml:space="preserve"> </w:t>
      </w:r>
      <w:r w:rsidRPr="00620E81">
        <w:rPr>
          <w:lang w:val="en-US"/>
        </w:rPr>
        <w:t>H.</w:t>
      </w:r>
      <w:r w:rsidRPr="00620E81">
        <w:rPr>
          <w:spacing w:val="-3"/>
          <w:lang w:val="en-US"/>
        </w:rPr>
        <w:t xml:space="preserve"> </w:t>
      </w:r>
      <w:r w:rsidRPr="00620E81">
        <w:rPr>
          <w:lang w:val="en-US"/>
        </w:rPr>
        <w:t>(2023).</w:t>
      </w:r>
      <w:r w:rsidRPr="00620E81">
        <w:rPr>
          <w:spacing w:val="-15"/>
          <w:lang w:val="en-US"/>
        </w:rPr>
        <w:t xml:space="preserve"> </w:t>
      </w:r>
      <w:r w:rsidRPr="00620E81">
        <w:rPr>
          <w:lang w:val="en-US"/>
        </w:rPr>
        <w:t>Artificial</w:t>
      </w:r>
      <w:r w:rsidRPr="00620E81">
        <w:rPr>
          <w:spacing w:val="-4"/>
          <w:lang w:val="en-US"/>
        </w:rPr>
        <w:t xml:space="preserve"> </w:t>
      </w:r>
      <w:r w:rsidRPr="00620E81">
        <w:rPr>
          <w:lang w:val="en-US"/>
        </w:rPr>
        <w:t>intelligence</w:t>
      </w:r>
      <w:r w:rsidRPr="00620E81">
        <w:rPr>
          <w:spacing w:val="-3"/>
          <w:lang w:val="en-US"/>
        </w:rPr>
        <w:t xml:space="preserve"> </w:t>
      </w:r>
      <w:r w:rsidRPr="00620E81">
        <w:rPr>
          <w:lang w:val="en-US"/>
        </w:rPr>
        <w:t>and</w:t>
      </w:r>
      <w:r w:rsidRPr="00620E81">
        <w:rPr>
          <w:spacing w:val="-3"/>
          <w:lang w:val="en-US"/>
        </w:rPr>
        <w:t xml:space="preserve"> </w:t>
      </w:r>
      <w:r w:rsidRPr="00620E81">
        <w:rPr>
          <w:lang w:val="en-US"/>
        </w:rPr>
        <w:t>the</w:t>
      </w:r>
      <w:r w:rsidRPr="00620E81">
        <w:rPr>
          <w:spacing w:val="-3"/>
          <w:lang w:val="en-US"/>
        </w:rPr>
        <w:t xml:space="preserve"> </w:t>
      </w:r>
      <w:r w:rsidRPr="00620E81">
        <w:rPr>
          <w:lang w:val="en-US"/>
        </w:rPr>
        <w:t>future</w:t>
      </w:r>
      <w:r w:rsidRPr="00620E81">
        <w:rPr>
          <w:spacing w:val="-3"/>
          <w:lang w:val="en-US"/>
        </w:rPr>
        <w:t xml:space="preserve"> </w:t>
      </w:r>
      <w:r w:rsidRPr="00620E81">
        <w:rPr>
          <w:lang w:val="en-US"/>
        </w:rPr>
        <w:t>of</w:t>
      </w:r>
      <w:r w:rsidRPr="00620E81">
        <w:rPr>
          <w:spacing w:val="-5"/>
          <w:lang w:val="en-US"/>
        </w:rPr>
        <w:t xml:space="preserve"> </w:t>
      </w:r>
      <w:r w:rsidRPr="00620E81">
        <w:rPr>
          <w:lang w:val="en-US"/>
        </w:rPr>
        <w:t>work:</w:t>
      </w:r>
      <w:r w:rsidRPr="00620E81">
        <w:rPr>
          <w:spacing w:val="-3"/>
          <w:lang w:val="en-US"/>
        </w:rPr>
        <w:t xml:space="preserve"> </w:t>
      </w:r>
      <w:r w:rsidRPr="00620E81">
        <w:rPr>
          <w:lang w:val="en-US"/>
        </w:rPr>
        <w:t xml:space="preserve">Human–AI symbiosis. </w:t>
      </w:r>
      <w:r w:rsidRPr="00620E81">
        <w:t>Business Horizons, 66(4), 421–433.</w:t>
      </w:r>
    </w:p>
    <w:p w14:paraId="7E2379DF" w14:textId="77777777" w:rsidR="00000301" w:rsidRPr="005D72CD" w:rsidRDefault="00000301" w:rsidP="00000301">
      <w:pPr>
        <w:pStyle w:val="Textoindependiente"/>
        <w:spacing w:before="161"/>
        <w:ind w:left="709" w:hanging="709"/>
        <w:rPr>
          <w:lang w:val="en-US"/>
        </w:rPr>
      </w:pPr>
      <w:r w:rsidRPr="00620E81">
        <w:t>Londoño,</w:t>
      </w:r>
      <w:r w:rsidRPr="00620E81">
        <w:rPr>
          <w:spacing w:val="-6"/>
        </w:rPr>
        <w:t xml:space="preserve"> </w:t>
      </w:r>
      <w:r w:rsidRPr="00620E81">
        <w:t>P.,</w:t>
      </w:r>
      <w:r w:rsidRPr="00620E81">
        <w:rPr>
          <w:spacing w:val="-6"/>
        </w:rPr>
        <w:t xml:space="preserve"> </w:t>
      </w:r>
      <w:r w:rsidRPr="00620E81">
        <w:t>&amp;</w:t>
      </w:r>
      <w:r w:rsidRPr="00620E81">
        <w:rPr>
          <w:spacing w:val="-6"/>
        </w:rPr>
        <w:t xml:space="preserve"> </w:t>
      </w:r>
      <w:r w:rsidRPr="00620E81">
        <w:t>Hernández,</w:t>
      </w:r>
      <w:r w:rsidRPr="00620E81">
        <w:rPr>
          <w:spacing w:val="-6"/>
        </w:rPr>
        <w:t xml:space="preserve"> </w:t>
      </w:r>
      <w:r w:rsidRPr="00620E81">
        <w:t>J.</w:t>
      </w:r>
      <w:r w:rsidRPr="00620E81">
        <w:rPr>
          <w:spacing w:val="-6"/>
        </w:rPr>
        <w:t xml:space="preserve"> </w:t>
      </w:r>
      <w:r w:rsidRPr="00620E81">
        <w:t>(2023).</w:t>
      </w:r>
      <w:r w:rsidRPr="00620E81">
        <w:rPr>
          <w:spacing w:val="-11"/>
        </w:rPr>
        <w:t xml:space="preserve"> </w:t>
      </w:r>
      <w:r w:rsidRPr="00620E81">
        <w:t>Transformación</w:t>
      </w:r>
      <w:r w:rsidRPr="00620E81">
        <w:rPr>
          <w:spacing w:val="-6"/>
        </w:rPr>
        <w:t xml:space="preserve"> </w:t>
      </w:r>
      <w:r w:rsidRPr="00620E81">
        <w:t>digital</w:t>
      </w:r>
      <w:r w:rsidRPr="00620E81">
        <w:rPr>
          <w:spacing w:val="-7"/>
        </w:rPr>
        <w:t xml:space="preserve"> </w:t>
      </w:r>
      <w:r w:rsidRPr="00620E81">
        <w:t>y</w:t>
      </w:r>
      <w:r w:rsidRPr="00620E81">
        <w:rPr>
          <w:spacing w:val="-6"/>
        </w:rPr>
        <w:t xml:space="preserve"> </w:t>
      </w:r>
      <w:r w:rsidRPr="00620E81">
        <w:t>gestión</w:t>
      </w:r>
      <w:r w:rsidRPr="00620E81">
        <w:rPr>
          <w:spacing w:val="-6"/>
        </w:rPr>
        <w:t xml:space="preserve"> </w:t>
      </w:r>
      <w:r w:rsidRPr="00620E81">
        <w:t>del</w:t>
      </w:r>
      <w:r w:rsidRPr="00620E81">
        <w:rPr>
          <w:spacing w:val="-8"/>
        </w:rPr>
        <w:t xml:space="preserve"> </w:t>
      </w:r>
      <w:r w:rsidRPr="00620E81">
        <w:t>talento humano en</w:t>
      </w:r>
      <w:r w:rsidRPr="00620E81">
        <w:rPr>
          <w:spacing w:val="-3"/>
        </w:rPr>
        <w:t xml:space="preserve"> </w:t>
      </w:r>
      <w:r w:rsidRPr="00620E81">
        <w:t xml:space="preserve">América Latina. </w:t>
      </w:r>
      <w:r w:rsidRPr="005D72CD">
        <w:rPr>
          <w:lang w:val="en-US"/>
        </w:rPr>
        <w:t>Revista de Estudios Organizacionales, 15(2), 45–59.</w:t>
      </w:r>
    </w:p>
    <w:p w14:paraId="3207647C" w14:textId="77777777" w:rsidR="00000301" w:rsidRPr="00620E81" w:rsidRDefault="00000301" w:rsidP="00000301">
      <w:pPr>
        <w:pStyle w:val="Textoindependiente"/>
        <w:spacing w:before="161"/>
        <w:ind w:left="709" w:hanging="709"/>
        <w:rPr>
          <w:lang w:val="en-US"/>
        </w:rPr>
      </w:pPr>
      <w:r w:rsidRPr="00620E81">
        <w:rPr>
          <w:lang w:val="en-US"/>
        </w:rPr>
        <w:t>Strohmeier,</w:t>
      </w:r>
      <w:r w:rsidRPr="00620E81">
        <w:rPr>
          <w:spacing w:val="-11"/>
          <w:lang w:val="en-US"/>
        </w:rPr>
        <w:t xml:space="preserve"> </w:t>
      </w:r>
      <w:r w:rsidRPr="00620E81">
        <w:rPr>
          <w:lang w:val="en-US"/>
        </w:rPr>
        <w:t>S.,</w:t>
      </w:r>
      <w:r w:rsidRPr="00620E81">
        <w:rPr>
          <w:spacing w:val="-5"/>
          <w:lang w:val="en-US"/>
        </w:rPr>
        <w:t xml:space="preserve"> </w:t>
      </w:r>
      <w:r w:rsidRPr="00620E81">
        <w:rPr>
          <w:lang w:val="en-US"/>
        </w:rPr>
        <w:t>&amp;</w:t>
      </w:r>
      <w:r w:rsidRPr="00620E81">
        <w:rPr>
          <w:spacing w:val="-5"/>
          <w:lang w:val="en-US"/>
        </w:rPr>
        <w:t xml:space="preserve"> </w:t>
      </w:r>
      <w:r w:rsidRPr="00620E81">
        <w:rPr>
          <w:lang w:val="en-US"/>
        </w:rPr>
        <w:t>Piazza,</w:t>
      </w:r>
      <w:r w:rsidRPr="00620E81">
        <w:rPr>
          <w:spacing w:val="-6"/>
          <w:lang w:val="en-US"/>
        </w:rPr>
        <w:t xml:space="preserve"> </w:t>
      </w:r>
      <w:r w:rsidRPr="00620E81">
        <w:rPr>
          <w:lang w:val="en-US"/>
        </w:rPr>
        <w:t>F.</w:t>
      </w:r>
      <w:r w:rsidRPr="00620E81">
        <w:rPr>
          <w:spacing w:val="-5"/>
          <w:lang w:val="en-US"/>
        </w:rPr>
        <w:t xml:space="preserve"> </w:t>
      </w:r>
      <w:r w:rsidRPr="00620E81">
        <w:rPr>
          <w:lang w:val="en-US"/>
        </w:rPr>
        <w:t>(2022).</w:t>
      </w:r>
      <w:r w:rsidRPr="00620E81">
        <w:rPr>
          <w:spacing w:val="-15"/>
          <w:lang w:val="en-US"/>
        </w:rPr>
        <w:t xml:space="preserve"> </w:t>
      </w:r>
      <w:r w:rsidRPr="00620E81">
        <w:rPr>
          <w:lang w:val="en-US"/>
        </w:rPr>
        <w:t>Artificial</w:t>
      </w:r>
      <w:r w:rsidRPr="00620E81">
        <w:rPr>
          <w:spacing w:val="-5"/>
          <w:lang w:val="en-US"/>
        </w:rPr>
        <w:t xml:space="preserve"> </w:t>
      </w:r>
      <w:r w:rsidRPr="00620E81">
        <w:rPr>
          <w:lang w:val="en-US"/>
        </w:rPr>
        <w:t>intelligence</w:t>
      </w:r>
      <w:r w:rsidRPr="00620E81">
        <w:rPr>
          <w:spacing w:val="-6"/>
          <w:lang w:val="en-US"/>
        </w:rPr>
        <w:t xml:space="preserve"> </w:t>
      </w:r>
      <w:r w:rsidRPr="00620E81">
        <w:rPr>
          <w:lang w:val="en-US"/>
        </w:rPr>
        <w:t>techniques</w:t>
      </w:r>
      <w:r w:rsidRPr="00620E81">
        <w:rPr>
          <w:spacing w:val="-6"/>
          <w:lang w:val="en-US"/>
        </w:rPr>
        <w:t xml:space="preserve"> </w:t>
      </w:r>
      <w:r w:rsidRPr="00620E81">
        <w:rPr>
          <w:lang w:val="en-US"/>
        </w:rPr>
        <w:t>in</w:t>
      </w:r>
      <w:r w:rsidRPr="00620E81">
        <w:rPr>
          <w:spacing w:val="-5"/>
          <w:lang w:val="en-US"/>
        </w:rPr>
        <w:t xml:space="preserve"> </w:t>
      </w:r>
      <w:r w:rsidRPr="00620E81">
        <w:rPr>
          <w:lang w:val="en-US"/>
        </w:rPr>
        <w:t>human</w:t>
      </w:r>
      <w:r w:rsidRPr="00620E81">
        <w:rPr>
          <w:spacing w:val="-5"/>
          <w:lang w:val="en-US"/>
        </w:rPr>
        <w:t xml:space="preserve"> </w:t>
      </w:r>
      <w:r w:rsidRPr="00620E81">
        <w:rPr>
          <w:lang w:val="en-US"/>
        </w:rPr>
        <w:t>resource management—A</w:t>
      </w:r>
      <w:r w:rsidRPr="00620E81">
        <w:rPr>
          <w:spacing w:val="-3"/>
          <w:lang w:val="en-US"/>
        </w:rPr>
        <w:t xml:space="preserve"> </w:t>
      </w:r>
      <w:r w:rsidRPr="00620E81">
        <w:rPr>
          <w:lang w:val="en-US"/>
        </w:rPr>
        <w:t>systematic review. Human Resource Management Review, 32(2), 100–122.</w:t>
      </w:r>
    </w:p>
    <w:p w14:paraId="60A6C847" w14:textId="77777777" w:rsidR="00000301" w:rsidRPr="00620E81" w:rsidRDefault="00000301" w:rsidP="00000301">
      <w:pPr>
        <w:pStyle w:val="Textoindependiente"/>
        <w:ind w:left="709" w:hanging="709"/>
        <w:rPr>
          <w:lang w:val="en-US"/>
        </w:rPr>
      </w:pPr>
      <w:r w:rsidRPr="005D72CD">
        <w:rPr>
          <w:lang w:val="es-CO"/>
        </w:rPr>
        <w:t xml:space="preserve">Tovar, M. (2023). Riesgos psicosociales en inteligencia artificial asociado a los procesos organizacionales: Psychosocial risks in artificial intelligence associated with organizational processes. </w:t>
      </w:r>
      <w:r w:rsidRPr="00620E81">
        <w:rPr>
          <w:lang w:val="en-US"/>
        </w:rPr>
        <w:t>PSIQUIS UBA, 4(2).</w:t>
      </w:r>
    </w:p>
    <w:p w14:paraId="4050E8C2" w14:textId="7CAA587E" w:rsidR="00000301" w:rsidRPr="00C014C3" w:rsidRDefault="00000301" w:rsidP="00C014C3">
      <w:pPr>
        <w:pStyle w:val="Textoindependiente"/>
        <w:spacing w:before="160"/>
        <w:ind w:left="709" w:hanging="709"/>
      </w:pPr>
      <w:r w:rsidRPr="00620E81">
        <w:rPr>
          <w:lang w:val="en-US"/>
        </w:rPr>
        <w:t>Upadhyay,</w:t>
      </w:r>
      <w:r w:rsidRPr="00620E81">
        <w:rPr>
          <w:spacing w:val="-15"/>
          <w:lang w:val="en-US"/>
        </w:rPr>
        <w:t xml:space="preserve"> </w:t>
      </w:r>
      <w:r w:rsidRPr="00620E81">
        <w:rPr>
          <w:lang w:val="en-US"/>
        </w:rPr>
        <w:t>A.,</w:t>
      </w:r>
      <w:r w:rsidRPr="00620E81">
        <w:rPr>
          <w:spacing w:val="-9"/>
          <w:lang w:val="en-US"/>
        </w:rPr>
        <w:t xml:space="preserve"> </w:t>
      </w:r>
      <w:r w:rsidRPr="00620E81">
        <w:rPr>
          <w:lang w:val="en-US"/>
        </w:rPr>
        <w:t>&amp;</w:t>
      </w:r>
      <w:r w:rsidRPr="00620E81">
        <w:rPr>
          <w:spacing w:val="-5"/>
          <w:lang w:val="en-US"/>
        </w:rPr>
        <w:t xml:space="preserve"> </w:t>
      </w:r>
      <w:r w:rsidRPr="00620E81">
        <w:rPr>
          <w:lang w:val="en-US"/>
        </w:rPr>
        <w:t>Khan</w:t>
      </w:r>
      <w:r w:rsidRPr="00404193">
        <w:rPr>
          <w:lang w:val="en-US"/>
        </w:rPr>
        <w:t>delwal,</w:t>
      </w:r>
      <w:r w:rsidRPr="00404193">
        <w:rPr>
          <w:spacing w:val="-5"/>
          <w:lang w:val="en-US"/>
        </w:rPr>
        <w:t xml:space="preserve"> </w:t>
      </w:r>
      <w:r w:rsidRPr="00404193">
        <w:rPr>
          <w:lang w:val="en-US"/>
        </w:rPr>
        <w:t>K.</w:t>
      </w:r>
      <w:r w:rsidRPr="00404193">
        <w:rPr>
          <w:spacing w:val="-5"/>
          <w:lang w:val="en-US"/>
        </w:rPr>
        <w:t xml:space="preserve"> </w:t>
      </w:r>
      <w:r w:rsidRPr="00404193">
        <w:rPr>
          <w:lang w:val="en-US"/>
        </w:rPr>
        <w:t>(2019).</w:t>
      </w:r>
      <w:r w:rsidRPr="00404193">
        <w:rPr>
          <w:spacing w:val="-15"/>
          <w:lang w:val="en-US"/>
        </w:rPr>
        <w:t xml:space="preserve"> </w:t>
      </w:r>
      <w:r w:rsidRPr="00404193">
        <w:rPr>
          <w:lang w:val="en-US"/>
        </w:rPr>
        <w:t>Applying</w:t>
      </w:r>
      <w:r w:rsidRPr="00404193">
        <w:rPr>
          <w:spacing w:val="-5"/>
          <w:lang w:val="en-US"/>
        </w:rPr>
        <w:t xml:space="preserve"> </w:t>
      </w:r>
      <w:r w:rsidRPr="00404193">
        <w:rPr>
          <w:lang w:val="en-US"/>
        </w:rPr>
        <w:t>artificial</w:t>
      </w:r>
      <w:r w:rsidRPr="00404193">
        <w:rPr>
          <w:spacing w:val="-5"/>
          <w:lang w:val="en-US"/>
        </w:rPr>
        <w:t xml:space="preserve"> </w:t>
      </w:r>
      <w:r w:rsidRPr="00404193">
        <w:rPr>
          <w:lang w:val="en-US"/>
        </w:rPr>
        <w:t>intelligence:</w:t>
      </w:r>
      <w:r w:rsidRPr="00404193">
        <w:rPr>
          <w:spacing w:val="-5"/>
          <w:lang w:val="en-US"/>
        </w:rPr>
        <w:t xml:space="preserve"> </w:t>
      </w:r>
      <w:r w:rsidRPr="00404193">
        <w:rPr>
          <w:lang w:val="en-US"/>
        </w:rPr>
        <w:t>Implications</w:t>
      </w:r>
      <w:r w:rsidRPr="00404193">
        <w:rPr>
          <w:spacing w:val="-6"/>
          <w:lang w:val="en-US"/>
        </w:rPr>
        <w:t xml:space="preserve"> </w:t>
      </w:r>
      <w:r w:rsidRPr="00404193">
        <w:rPr>
          <w:lang w:val="en-US"/>
        </w:rPr>
        <w:t xml:space="preserve">for recruitment. </w:t>
      </w:r>
      <w:r w:rsidRPr="00404193">
        <w:t>Strategic HR Review, 18(2), 70–73</w:t>
      </w:r>
      <w:r>
        <w:t>.</w:t>
      </w:r>
    </w:p>
    <w:sectPr w:rsidR="00000301" w:rsidRPr="00C014C3" w:rsidSect="00A66FC9">
      <w:headerReference w:type="default" r:id="rId8"/>
      <w:headerReference w:type="first" r:id="rId9"/>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CBCCA" w14:textId="77777777" w:rsidR="00FE61E2" w:rsidRDefault="00FE61E2" w:rsidP="00404193">
      <w:pPr>
        <w:spacing w:after="0" w:line="240" w:lineRule="auto"/>
      </w:pPr>
      <w:r>
        <w:separator/>
      </w:r>
    </w:p>
  </w:endnote>
  <w:endnote w:type="continuationSeparator" w:id="0">
    <w:p w14:paraId="7486E680" w14:textId="77777777" w:rsidR="00FE61E2" w:rsidRDefault="00FE61E2" w:rsidP="00404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718ED" w14:textId="77777777" w:rsidR="00FE61E2" w:rsidRDefault="00FE61E2" w:rsidP="00404193">
      <w:pPr>
        <w:spacing w:after="0" w:line="240" w:lineRule="auto"/>
      </w:pPr>
      <w:r>
        <w:separator/>
      </w:r>
    </w:p>
  </w:footnote>
  <w:footnote w:type="continuationSeparator" w:id="0">
    <w:p w14:paraId="30548903" w14:textId="77777777" w:rsidR="00FE61E2" w:rsidRDefault="00FE61E2" w:rsidP="00404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7F75" w14:textId="4369EFFC" w:rsidR="00FF657C" w:rsidRDefault="00FF657C" w:rsidP="00FF657C">
    <w:pPr>
      <w:spacing w:after="0" w:line="240" w:lineRule="auto"/>
      <w:ind w:firstLine="0"/>
    </w:pPr>
    <w:r w:rsidRPr="00FF657C">
      <w:rPr>
        <w:rStyle w:val="Textoennegrita"/>
        <w:b w:val="0"/>
        <w:bCs w:val="0"/>
      </w:rPr>
      <w:t xml:space="preserve">INCIDENCIA DE LA IA EN </w:t>
    </w:r>
    <w:r w:rsidRPr="00FF657C">
      <w:rPr>
        <w:rStyle w:val="Textoennegrita"/>
        <w:rFonts w:eastAsiaTheme="majorEastAsia"/>
        <w:b w:val="0"/>
        <w:bCs w:val="0"/>
      </w:rPr>
      <w:t xml:space="preserve">EL </w:t>
    </w:r>
    <w:r w:rsidRPr="00FF657C">
      <w:rPr>
        <w:rStyle w:val="Textoennegrita"/>
        <w:b w:val="0"/>
        <w:bCs w:val="0"/>
      </w:rPr>
      <w:t>TALENTO HUMANO</w:t>
    </w:r>
  </w:p>
  <w:sdt>
    <w:sdtPr>
      <w:id w:val="-1550830194"/>
      <w:docPartObj>
        <w:docPartGallery w:val="Page Numbers (Top of Page)"/>
        <w:docPartUnique/>
      </w:docPartObj>
    </w:sdtPr>
    <w:sdtEndPr/>
    <w:sdtContent>
      <w:p w14:paraId="3021FC71" w14:textId="77777777" w:rsidR="00FF657C" w:rsidRDefault="00FF657C" w:rsidP="00FF657C">
        <w:pPr>
          <w:pStyle w:val="Encabezado"/>
          <w:jc w:val="right"/>
        </w:pPr>
        <w:r>
          <w:fldChar w:fldCharType="begin"/>
        </w:r>
        <w:r>
          <w:instrText>PAGE   \* MERGEFORMAT</w:instrText>
        </w:r>
        <w:r>
          <w:fldChar w:fldCharType="separate"/>
        </w:r>
        <w:r>
          <w:rPr>
            <w:lang w:val="es-ES"/>
          </w:rPr>
          <w:t>2</w:t>
        </w:r>
        <w:r>
          <w:fldChar w:fldCharType="end"/>
        </w:r>
      </w:p>
      <w:p w14:paraId="7CB89313" w14:textId="3CAC1157" w:rsidR="00FF657C" w:rsidRDefault="00FE61E2" w:rsidP="00FF657C">
        <w:pPr>
          <w:pStyle w:val="Encabezado"/>
          <w:jc w:val="right"/>
        </w:pPr>
      </w:p>
    </w:sdtContent>
  </w:sdt>
  <w:p w14:paraId="3A67ED37" w14:textId="21094C15" w:rsidR="00FF657C" w:rsidRDefault="00FF65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566069"/>
      <w:docPartObj>
        <w:docPartGallery w:val="Page Numbers (Top of Page)"/>
        <w:docPartUnique/>
      </w:docPartObj>
    </w:sdtPr>
    <w:sdtEndPr/>
    <w:sdtContent>
      <w:p w14:paraId="18EDA513" w14:textId="77777777" w:rsidR="00FF657C" w:rsidRDefault="00FF657C" w:rsidP="00FF657C">
        <w:pPr>
          <w:pStyle w:val="Encabezado"/>
          <w:jc w:val="right"/>
        </w:pPr>
        <w:r>
          <w:fldChar w:fldCharType="begin"/>
        </w:r>
        <w:r>
          <w:instrText>PAGE   \* MERGEFORMAT</w:instrText>
        </w:r>
        <w:r>
          <w:fldChar w:fldCharType="separate"/>
        </w:r>
        <w:r>
          <w:rPr>
            <w:lang w:val="es-ES"/>
          </w:rPr>
          <w:t>2</w:t>
        </w:r>
        <w:r>
          <w:fldChar w:fldCharType="end"/>
        </w:r>
      </w:p>
      <w:p w14:paraId="4C95FFDB" w14:textId="0AC73FF7" w:rsidR="00FF657C" w:rsidRDefault="00FE61E2" w:rsidP="00FF657C">
        <w:pPr>
          <w:pStyle w:val="Encabezado"/>
          <w:jc w:val="right"/>
        </w:pPr>
      </w:p>
    </w:sdtContent>
  </w:sdt>
  <w:p w14:paraId="59AE7484" w14:textId="0E862DC1" w:rsidR="00A738D8" w:rsidRDefault="00A738D8" w:rsidP="00FF657C">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6A25"/>
    <w:multiLevelType w:val="multilevel"/>
    <w:tmpl w:val="357E9644"/>
    <w:numStyleLink w:val="dEFINITIVO"/>
  </w:abstractNum>
  <w:abstractNum w:abstractNumId="1" w15:restartNumberingAfterBreak="0">
    <w:nsid w:val="083B7936"/>
    <w:multiLevelType w:val="hybridMultilevel"/>
    <w:tmpl w:val="C01CA69A"/>
    <w:lvl w:ilvl="0" w:tplc="DD5CCBA6">
      <w:start w:val="1"/>
      <w:numFmt w:val="bullet"/>
      <w:lvlText w:val="•"/>
      <w:lvlJc w:val="left"/>
      <w:pPr>
        <w:ind w:left="720" w:hanging="360"/>
      </w:pPr>
    </w:lvl>
    <w:lvl w:ilvl="1" w:tplc="35E2A8A0">
      <w:numFmt w:val="decimal"/>
      <w:lvlText w:val=""/>
      <w:lvlJc w:val="left"/>
    </w:lvl>
    <w:lvl w:ilvl="2" w:tplc="6BA067B8">
      <w:numFmt w:val="decimal"/>
      <w:lvlText w:val=""/>
      <w:lvlJc w:val="left"/>
    </w:lvl>
    <w:lvl w:ilvl="3" w:tplc="979809FA">
      <w:numFmt w:val="decimal"/>
      <w:lvlText w:val=""/>
      <w:lvlJc w:val="left"/>
    </w:lvl>
    <w:lvl w:ilvl="4" w:tplc="FF62E944">
      <w:numFmt w:val="decimal"/>
      <w:lvlText w:val=""/>
      <w:lvlJc w:val="left"/>
    </w:lvl>
    <w:lvl w:ilvl="5" w:tplc="5C6867B0">
      <w:numFmt w:val="decimal"/>
      <w:lvlText w:val=""/>
      <w:lvlJc w:val="left"/>
    </w:lvl>
    <w:lvl w:ilvl="6" w:tplc="231A1DD2">
      <w:numFmt w:val="decimal"/>
      <w:lvlText w:val=""/>
      <w:lvlJc w:val="left"/>
    </w:lvl>
    <w:lvl w:ilvl="7" w:tplc="6D78FEF6">
      <w:numFmt w:val="decimal"/>
      <w:lvlText w:val=""/>
      <w:lvlJc w:val="left"/>
    </w:lvl>
    <w:lvl w:ilvl="8" w:tplc="F0C8C282">
      <w:numFmt w:val="decimal"/>
      <w:lvlText w:val=""/>
      <w:lvlJc w:val="left"/>
    </w:lvl>
  </w:abstractNum>
  <w:abstractNum w:abstractNumId="2" w15:restartNumberingAfterBreak="0">
    <w:nsid w:val="0A614FB7"/>
    <w:multiLevelType w:val="multilevel"/>
    <w:tmpl w:val="357E9644"/>
    <w:numStyleLink w:val="dEFINITIVO"/>
  </w:abstractNum>
  <w:abstractNum w:abstractNumId="3" w15:restartNumberingAfterBreak="0">
    <w:nsid w:val="0F3C2D13"/>
    <w:multiLevelType w:val="hybridMultilevel"/>
    <w:tmpl w:val="DB781A2C"/>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4" w15:restartNumberingAfterBreak="0">
    <w:nsid w:val="13A012A6"/>
    <w:multiLevelType w:val="multilevel"/>
    <w:tmpl w:val="7B165E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CE33C6"/>
    <w:multiLevelType w:val="multilevel"/>
    <w:tmpl w:val="357E9644"/>
    <w:numStyleLink w:val="dEFINITIVO"/>
  </w:abstractNum>
  <w:abstractNum w:abstractNumId="6" w15:restartNumberingAfterBreak="0">
    <w:nsid w:val="19B90F89"/>
    <w:multiLevelType w:val="hybridMultilevel"/>
    <w:tmpl w:val="631A3F96"/>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7" w15:restartNumberingAfterBreak="0">
    <w:nsid w:val="1A89393E"/>
    <w:multiLevelType w:val="multilevel"/>
    <w:tmpl w:val="57D642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E12E03"/>
    <w:multiLevelType w:val="hybridMultilevel"/>
    <w:tmpl w:val="C424250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1741CF1"/>
    <w:multiLevelType w:val="hybridMultilevel"/>
    <w:tmpl w:val="11CC3BB0"/>
    <w:lvl w:ilvl="0" w:tplc="5E184F56">
      <w:start w:val="3"/>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1863CB9"/>
    <w:multiLevelType w:val="multilevel"/>
    <w:tmpl w:val="80AA7858"/>
    <w:lvl w:ilvl="0">
      <w:start w:val="3"/>
      <w:numFmt w:val="decimal"/>
      <w:lvlText w:val="%1."/>
      <w:lvlJc w:val="left"/>
      <w:pPr>
        <w:ind w:left="360" w:hanging="360"/>
      </w:pPr>
      <w:rPr>
        <w:rFonts w:hint="default"/>
      </w:rPr>
    </w:lvl>
    <w:lvl w:ilvl="1">
      <w:start w:val="6"/>
      <w:numFmt w:val="decimal"/>
      <w:lvlText w:val="%1.%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1172" w:hanging="108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578" w:hanging="1440"/>
      </w:pPr>
      <w:rPr>
        <w:rFonts w:hint="default"/>
      </w:rPr>
    </w:lvl>
    <w:lvl w:ilvl="7">
      <w:start w:val="1"/>
      <w:numFmt w:val="decimal"/>
      <w:lvlText w:val="%1.%2.%3.%4.%5.%6.%7.%8."/>
      <w:lvlJc w:val="left"/>
      <w:pPr>
        <w:ind w:left="1601" w:hanging="1440"/>
      </w:pPr>
      <w:rPr>
        <w:rFonts w:hint="default"/>
      </w:rPr>
    </w:lvl>
    <w:lvl w:ilvl="8">
      <w:start w:val="1"/>
      <w:numFmt w:val="decimal"/>
      <w:lvlText w:val="%1.%2.%3.%4.%5.%6.%7.%8.%9."/>
      <w:lvlJc w:val="left"/>
      <w:pPr>
        <w:ind w:left="1984" w:hanging="1800"/>
      </w:pPr>
      <w:rPr>
        <w:rFonts w:hint="default"/>
      </w:rPr>
    </w:lvl>
  </w:abstractNum>
  <w:abstractNum w:abstractNumId="11" w15:restartNumberingAfterBreak="0">
    <w:nsid w:val="272564A6"/>
    <w:multiLevelType w:val="hybridMultilevel"/>
    <w:tmpl w:val="F4C4B792"/>
    <w:lvl w:ilvl="0" w:tplc="D032C534">
      <w:start w:val="1"/>
      <w:numFmt w:val="decimal"/>
      <w:lvlText w:val="%1."/>
      <w:lvlJc w:val="left"/>
      <w:pPr>
        <w:ind w:left="720" w:hanging="360"/>
      </w:pPr>
    </w:lvl>
    <w:lvl w:ilvl="1" w:tplc="0F28AEF4">
      <w:numFmt w:val="decimal"/>
      <w:lvlText w:val=""/>
      <w:lvlJc w:val="left"/>
    </w:lvl>
    <w:lvl w:ilvl="2" w:tplc="71E6E846">
      <w:numFmt w:val="decimal"/>
      <w:lvlText w:val=""/>
      <w:lvlJc w:val="left"/>
    </w:lvl>
    <w:lvl w:ilvl="3" w:tplc="73469DA0">
      <w:numFmt w:val="decimal"/>
      <w:lvlText w:val=""/>
      <w:lvlJc w:val="left"/>
    </w:lvl>
    <w:lvl w:ilvl="4" w:tplc="989C4562">
      <w:numFmt w:val="decimal"/>
      <w:lvlText w:val=""/>
      <w:lvlJc w:val="left"/>
    </w:lvl>
    <w:lvl w:ilvl="5" w:tplc="4E601B74">
      <w:numFmt w:val="decimal"/>
      <w:lvlText w:val=""/>
      <w:lvlJc w:val="left"/>
    </w:lvl>
    <w:lvl w:ilvl="6" w:tplc="70480234">
      <w:numFmt w:val="decimal"/>
      <w:lvlText w:val=""/>
      <w:lvlJc w:val="left"/>
    </w:lvl>
    <w:lvl w:ilvl="7" w:tplc="C7DE0798">
      <w:numFmt w:val="decimal"/>
      <w:lvlText w:val=""/>
      <w:lvlJc w:val="left"/>
    </w:lvl>
    <w:lvl w:ilvl="8" w:tplc="C6F2A62C">
      <w:numFmt w:val="decimal"/>
      <w:lvlText w:val=""/>
      <w:lvlJc w:val="left"/>
    </w:lvl>
  </w:abstractNum>
  <w:abstractNum w:abstractNumId="12" w15:restartNumberingAfterBreak="0">
    <w:nsid w:val="2B870574"/>
    <w:multiLevelType w:val="hybridMultilevel"/>
    <w:tmpl w:val="AF502D3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CD06FF5"/>
    <w:multiLevelType w:val="hybridMultilevel"/>
    <w:tmpl w:val="A2A04524"/>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4" w15:restartNumberingAfterBreak="0">
    <w:nsid w:val="31AE138A"/>
    <w:multiLevelType w:val="multilevel"/>
    <w:tmpl w:val="357E9644"/>
    <w:styleLink w:val="dEFINITIVO"/>
    <w:lvl w:ilvl="0">
      <w:start w:val="1"/>
      <w:numFmt w:val="decimal"/>
      <w:lvlText w:val="%1."/>
      <w:lvlJc w:val="left"/>
      <w:pPr>
        <w:ind w:left="420" w:hanging="420"/>
      </w:pPr>
      <w:rPr>
        <w:rFonts w:ascii="Times New Roman" w:hAnsi="Times New Roman" w:hint="default"/>
        <w:sz w:val="24"/>
      </w:rPr>
    </w:lvl>
    <w:lvl w:ilvl="1">
      <w:start w:val="1"/>
      <w:numFmt w:val="decimal"/>
      <w:pStyle w:val="Ttulo2"/>
      <w:lvlText w:val="%1.%2."/>
      <w:lvlJc w:val="left"/>
      <w:pPr>
        <w:ind w:left="420" w:hanging="420"/>
      </w:pPr>
      <w:rPr>
        <w:rFonts w:hint="default"/>
      </w:rPr>
    </w:lvl>
    <w:lvl w:ilvl="2">
      <w:start w:val="1"/>
      <w:numFmt w:val="decimal"/>
      <w:pStyle w:val="Titulo3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D02D60"/>
    <w:multiLevelType w:val="multilevel"/>
    <w:tmpl w:val="7F3A38E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854DA6"/>
    <w:multiLevelType w:val="hybridMultilevel"/>
    <w:tmpl w:val="B186FE3C"/>
    <w:lvl w:ilvl="0" w:tplc="6A56E758">
      <w:start w:val="1"/>
      <w:numFmt w:val="decimal"/>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26A20B6"/>
    <w:multiLevelType w:val="hybridMultilevel"/>
    <w:tmpl w:val="86EEEC48"/>
    <w:lvl w:ilvl="0" w:tplc="CE8413DE">
      <w:start w:val="1"/>
      <w:numFmt w:val="decimal"/>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940EA3"/>
    <w:multiLevelType w:val="multilevel"/>
    <w:tmpl w:val="5AEEB0E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D518A6"/>
    <w:multiLevelType w:val="hybridMultilevel"/>
    <w:tmpl w:val="9092A01A"/>
    <w:lvl w:ilvl="0" w:tplc="240A0001">
      <w:start w:val="1"/>
      <w:numFmt w:val="bullet"/>
      <w:lvlText w:val=""/>
      <w:lvlJc w:val="left"/>
      <w:pPr>
        <w:ind w:left="1463" w:hanging="360"/>
      </w:pPr>
      <w:rPr>
        <w:rFonts w:ascii="Symbol" w:hAnsi="Symbol" w:hint="default"/>
      </w:rPr>
    </w:lvl>
    <w:lvl w:ilvl="1" w:tplc="240A0003" w:tentative="1">
      <w:start w:val="1"/>
      <w:numFmt w:val="bullet"/>
      <w:lvlText w:val="o"/>
      <w:lvlJc w:val="left"/>
      <w:pPr>
        <w:ind w:left="2183" w:hanging="360"/>
      </w:pPr>
      <w:rPr>
        <w:rFonts w:ascii="Courier New" w:hAnsi="Courier New" w:cs="Courier New" w:hint="default"/>
      </w:rPr>
    </w:lvl>
    <w:lvl w:ilvl="2" w:tplc="240A0005" w:tentative="1">
      <w:start w:val="1"/>
      <w:numFmt w:val="bullet"/>
      <w:lvlText w:val=""/>
      <w:lvlJc w:val="left"/>
      <w:pPr>
        <w:ind w:left="2903" w:hanging="360"/>
      </w:pPr>
      <w:rPr>
        <w:rFonts w:ascii="Wingdings" w:hAnsi="Wingdings" w:hint="default"/>
      </w:rPr>
    </w:lvl>
    <w:lvl w:ilvl="3" w:tplc="240A0001" w:tentative="1">
      <w:start w:val="1"/>
      <w:numFmt w:val="bullet"/>
      <w:lvlText w:val=""/>
      <w:lvlJc w:val="left"/>
      <w:pPr>
        <w:ind w:left="3623" w:hanging="360"/>
      </w:pPr>
      <w:rPr>
        <w:rFonts w:ascii="Symbol" w:hAnsi="Symbol" w:hint="default"/>
      </w:rPr>
    </w:lvl>
    <w:lvl w:ilvl="4" w:tplc="240A0003" w:tentative="1">
      <w:start w:val="1"/>
      <w:numFmt w:val="bullet"/>
      <w:lvlText w:val="o"/>
      <w:lvlJc w:val="left"/>
      <w:pPr>
        <w:ind w:left="4343" w:hanging="360"/>
      </w:pPr>
      <w:rPr>
        <w:rFonts w:ascii="Courier New" w:hAnsi="Courier New" w:cs="Courier New" w:hint="default"/>
      </w:rPr>
    </w:lvl>
    <w:lvl w:ilvl="5" w:tplc="240A0005" w:tentative="1">
      <w:start w:val="1"/>
      <w:numFmt w:val="bullet"/>
      <w:lvlText w:val=""/>
      <w:lvlJc w:val="left"/>
      <w:pPr>
        <w:ind w:left="5063" w:hanging="360"/>
      </w:pPr>
      <w:rPr>
        <w:rFonts w:ascii="Wingdings" w:hAnsi="Wingdings" w:hint="default"/>
      </w:rPr>
    </w:lvl>
    <w:lvl w:ilvl="6" w:tplc="240A0001" w:tentative="1">
      <w:start w:val="1"/>
      <w:numFmt w:val="bullet"/>
      <w:lvlText w:val=""/>
      <w:lvlJc w:val="left"/>
      <w:pPr>
        <w:ind w:left="5783" w:hanging="360"/>
      </w:pPr>
      <w:rPr>
        <w:rFonts w:ascii="Symbol" w:hAnsi="Symbol" w:hint="default"/>
      </w:rPr>
    </w:lvl>
    <w:lvl w:ilvl="7" w:tplc="240A0003" w:tentative="1">
      <w:start w:val="1"/>
      <w:numFmt w:val="bullet"/>
      <w:lvlText w:val="o"/>
      <w:lvlJc w:val="left"/>
      <w:pPr>
        <w:ind w:left="6503" w:hanging="360"/>
      </w:pPr>
      <w:rPr>
        <w:rFonts w:ascii="Courier New" w:hAnsi="Courier New" w:cs="Courier New" w:hint="default"/>
      </w:rPr>
    </w:lvl>
    <w:lvl w:ilvl="8" w:tplc="240A0005" w:tentative="1">
      <w:start w:val="1"/>
      <w:numFmt w:val="bullet"/>
      <w:lvlText w:val=""/>
      <w:lvlJc w:val="left"/>
      <w:pPr>
        <w:ind w:left="7223" w:hanging="360"/>
      </w:pPr>
      <w:rPr>
        <w:rFonts w:ascii="Wingdings" w:hAnsi="Wingdings" w:hint="default"/>
      </w:rPr>
    </w:lvl>
  </w:abstractNum>
  <w:abstractNum w:abstractNumId="20" w15:restartNumberingAfterBreak="0">
    <w:nsid w:val="4C8C59B5"/>
    <w:multiLevelType w:val="hybridMultilevel"/>
    <w:tmpl w:val="3B7A1D76"/>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823896"/>
    <w:multiLevelType w:val="hybridMultilevel"/>
    <w:tmpl w:val="400C77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1086763"/>
    <w:multiLevelType w:val="multilevel"/>
    <w:tmpl w:val="113A1F4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3" w15:restartNumberingAfterBreak="0">
    <w:nsid w:val="56856A64"/>
    <w:multiLevelType w:val="multilevel"/>
    <w:tmpl w:val="83B4315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FF69CA"/>
    <w:multiLevelType w:val="multilevel"/>
    <w:tmpl w:val="7E864DB8"/>
    <w:lvl w:ilvl="0">
      <w:start w:val="1"/>
      <w:numFmt w:val="decimal"/>
      <w:lvlText w:val="%1."/>
      <w:lvlJc w:val="left"/>
      <w:pPr>
        <w:ind w:left="4576" w:hanging="363"/>
        <w:jc w:val="right"/>
      </w:pPr>
      <w:rPr>
        <w:rFonts w:ascii="Times New Roman" w:eastAsia="Times New Roman" w:hAnsi="Times New Roman" w:cs="Times New Roman" w:hint="default"/>
        <w:b/>
        <w:bCs/>
        <w:i w:val="0"/>
        <w:iCs w:val="0"/>
        <w:spacing w:val="0"/>
        <w:w w:val="100"/>
        <w:sz w:val="24"/>
        <w:szCs w:val="24"/>
        <w:lang w:val="es-ES" w:eastAsia="en-US" w:bidi="ar-SA"/>
      </w:rPr>
    </w:lvl>
    <w:lvl w:ilvl="1">
      <w:start w:val="1"/>
      <w:numFmt w:val="decimal"/>
      <w:lvlText w:val="%1.%2."/>
      <w:lvlJc w:val="left"/>
      <w:pPr>
        <w:ind w:left="1439" w:hanging="707"/>
      </w:pPr>
      <w:rPr>
        <w:rFonts w:hint="default"/>
        <w:spacing w:val="0"/>
        <w:w w:val="100"/>
        <w:lang w:val="es-ES" w:eastAsia="en-US" w:bidi="ar-SA"/>
      </w:rPr>
    </w:lvl>
    <w:lvl w:ilvl="2">
      <w:start w:val="1"/>
      <w:numFmt w:val="lowerLetter"/>
      <w:lvlText w:val="%3."/>
      <w:lvlJc w:val="left"/>
      <w:pPr>
        <w:ind w:left="1452" w:hanging="707"/>
      </w:pPr>
      <w:rPr>
        <w:rFonts w:ascii="Times New Roman" w:eastAsia="Times New Roman" w:hAnsi="Times New Roman" w:cs="Times New Roman" w:hint="default"/>
        <w:b w:val="0"/>
        <w:bCs w:val="0"/>
        <w:i w:val="0"/>
        <w:iCs w:val="0"/>
        <w:spacing w:val="0"/>
        <w:w w:val="100"/>
        <w:sz w:val="24"/>
        <w:szCs w:val="24"/>
        <w:lang w:val="es-ES" w:eastAsia="en-US" w:bidi="ar-SA"/>
      </w:rPr>
    </w:lvl>
    <w:lvl w:ilvl="3">
      <w:numFmt w:val="bullet"/>
      <w:lvlText w:val="•"/>
      <w:lvlJc w:val="left"/>
      <w:pPr>
        <w:ind w:left="4580" w:hanging="707"/>
      </w:pPr>
      <w:rPr>
        <w:rFonts w:hint="default"/>
        <w:lang w:val="es-ES" w:eastAsia="en-US" w:bidi="ar-SA"/>
      </w:rPr>
    </w:lvl>
    <w:lvl w:ilvl="4">
      <w:numFmt w:val="bullet"/>
      <w:lvlText w:val="•"/>
      <w:lvlJc w:val="left"/>
      <w:pPr>
        <w:ind w:left="5269" w:hanging="707"/>
      </w:pPr>
      <w:rPr>
        <w:rFonts w:hint="default"/>
        <w:lang w:val="es-ES" w:eastAsia="en-US" w:bidi="ar-SA"/>
      </w:rPr>
    </w:lvl>
    <w:lvl w:ilvl="5">
      <w:numFmt w:val="bullet"/>
      <w:lvlText w:val="•"/>
      <w:lvlJc w:val="left"/>
      <w:pPr>
        <w:ind w:left="5959" w:hanging="707"/>
      </w:pPr>
      <w:rPr>
        <w:rFonts w:hint="default"/>
        <w:lang w:val="es-ES" w:eastAsia="en-US" w:bidi="ar-SA"/>
      </w:rPr>
    </w:lvl>
    <w:lvl w:ilvl="6">
      <w:numFmt w:val="bullet"/>
      <w:lvlText w:val="•"/>
      <w:lvlJc w:val="left"/>
      <w:pPr>
        <w:ind w:left="6649" w:hanging="707"/>
      </w:pPr>
      <w:rPr>
        <w:rFonts w:hint="default"/>
        <w:lang w:val="es-ES" w:eastAsia="en-US" w:bidi="ar-SA"/>
      </w:rPr>
    </w:lvl>
    <w:lvl w:ilvl="7">
      <w:numFmt w:val="bullet"/>
      <w:lvlText w:val="•"/>
      <w:lvlJc w:val="left"/>
      <w:pPr>
        <w:ind w:left="7339" w:hanging="707"/>
      </w:pPr>
      <w:rPr>
        <w:rFonts w:hint="default"/>
        <w:lang w:val="es-ES" w:eastAsia="en-US" w:bidi="ar-SA"/>
      </w:rPr>
    </w:lvl>
    <w:lvl w:ilvl="8">
      <w:numFmt w:val="bullet"/>
      <w:lvlText w:val="•"/>
      <w:lvlJc w:val="left"/>
      <w:pPr>
        <w:ind w:left="8028" w:hanging="707"/>
      </w:pPr>
      <w:rPr>
        <w:rFonts w:hint="default"/>
        <w:lang w:val="es-ES" w:eastAsia="en-US" w:bidi="ar-SA"/>
      </w:rPr>
    </w:lvl>
  </w:abstractNum>
  <w:abstractNum w:abstractNumId="25" w15:restartNumberingAfterBreak="0">
    <w:nsid w:val="5BE82FEA"/>
    <w:multiLevelType w:val="multilevel"/>
    <w:tmpl w:val="357E9644"/>
    <w:numStyleLink w:val="dEFINITIVO"/>
  </w:abstractNum>
  <w:abstractNum w:abstractNumId="26" w15:restartNumberingAfterBreak="0">
    <w:nsid w:val="61234954"/>
    <w:multiLevelType w:val="hybridMultilevel"/>
    <w:tmpl w:val="AAF85702"/>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7" w15:restartNumberingAfterBreak="0">
    <w:nsid w:val="6F1A06A5"/>
    <w:multiLevelType w:val="multilevel"/>
    <w:tmpl w:val="1616954A"/>
    <w:lvl w:ilvl="0">
      <w:start w:val="1"/>
      <w:numFmt w:val="decimal"/>
      <w:lvlText w:val="%1."/>
      <w:lvlJc w:val="left"/>
      <w:pPr>
        <w:ind w:left="420" w:hanging="420"/>
      </w:pPr>
      <w:rPr>
        <w:rFonts w:hint="default"/>
        <w:sz w:val="24"/>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D84A02"/>
    <w:multiLevelType w:val="multilevel"/>
    <w:tmpl w:val="7E864DB8"/>
    <w:lvl w:ilvl="0">
      <w:start w:val="1"/>
      <w:numFmt w:val="decimal"/>
      <w:lvlText w:val="%1."/>
      <w:lvlJc w:val="left"/>
      <w:pPr>
        <w:ind w:left="4576" w:hanging="363"/>
        <w:jc w:val="right"/>
      </w:pPr>
      <w:rPr>
        <w:rFonts w:ascii="Times New Roman" w:eastAsia="Times New Roman" w:hAnsi="Times New Roman" w:cs="Times New Roman" w:hint="default"/>
        <w:b/>
        <w:bCs/>
        <w:i w:val="0"/>
        <w:iCs w:val="0"/>
        <w:spacing w:val="0"/>
        <w:w w:val="100"/>
        <w:sz w:val="24"/>
        <w:szCs w:val="24"/>
        <w:lang w:val="es-ES" w:eastAsia="en-US" w:bidi="ar-SA"/>
      </w:rPr>
    </w:lvl>
    <w:lvl w:ilvl="1">
      <w:start w:val="1"/>
      <w:numFmt w:val="decimal"/>
      <w:lvlText w:val="%1.%2."/>
      <w:lvlJc w:val="left"/>
      <w:pPr>
        <w:ind w:left="1439" w:hanging="707"/>
      </w:pPr>
      <w:rPr>
        <w:rFonts w:hint="default"/>
        <w:spacing w:val="0"/>
        <w:w w:val="100"/>
        <w:lang w:val="es-ES" w:eastAsia="en-US" w:bidi="ar-SA"/>
      </w:rPr>
    </w:lvl>
    <w:lvl w:ilvl="2">
      <w:start w:val="1"/>
      <w:numFmt w:val="lowerLetter"/>
      <w:lvlText w:val="%3."/>
      <w:lvlJc w:val="left"/>
      <w:pPr>
        <w:ind w:left="1452" w:hanging="707"/>
      </w:pPr>
      <w:rPr>
        <w:rFonts w:ascii="Times New Roman" w:eastAsia="Times New Roman" w:hAnsi="Times New Roman" w:cs="Times New Roman" w:hint="default"/>
        <w:b w:val="0"/>
        <w:bCs w:val="0"/>
        <w:i w:val="0"/>
        <w:iCs w:val="0"/>
        <w:spacing w:val="0"/>
        <w:w w:val="100"/>
        <w:sz w:val="24"/>
        <w:szCs w:val="24"/>
        <w:lang w:val="es-ES" w:eastAsia="en-US" w:bidi="ar-SA"/>
      </w:rPr>
    </w:lvl>
    <w:lvl w:ilvl="3">
      <w:numFmt w:val="bullet"/>
      <w:lvlText w:val="•"/>
      <w:lvlJc w:val="left"/>
      <w:pPr>
        <w:ind w:left="4580" w:hanging="707"/>
      </w:pPr>
      <w:rPr>
        <w:rFonts w:hint="default"/>
        <w:lang w:val="es-ES" w:eastAsia="en-US" w:bidi="ar-SA"/>
      </w:rPr>
    </w:lvl>
    <w:lvl w:ilvl="4">
      <w:numFmt w:val="bullet"/>
      <w:lvlText w:val="•"/>
      <w:lvlJc w:val="left"/>
      <w:pPr>
        <w:ind w:left="5269" w:hanging="707"/>
      </w:pPr>
      <w:rPr>
        <w:rFonts w:hint="default"/>
        <w:lang w:val="es-ES" w:eastAsia="en-US" w:bidi="ar-SA"/>
      </w:rPr>
    </w:lvl>
    <w:lvl w:ilvl="5">
      <w:numFmt w:val="bullet"/>
      <w:lvlText w:val="•"/>
      <w:lvlJc w:val="left"/>
      <w:pPr>
        <w:ind w:left="5959" w:hanging="707"/>
      </w:pPr>
      <w:rPr>
        <w:rFonts w:hint="default"/>
        <w:lang w:val="es-ES" w:eastAsia="en-US" w:bidi="ar-SA"/>
      </w:rPr>
    </w:lvl>
    <w:lvl w:ilvl="6">
      <w:numFmt w:val="bullet"/>
      <w:lvlText w:val="•"/>
      <w:lvlJc w:val="left"/>
      <w:pPr>
        <w:ind w:left="6649" w:hanging="707"/>
      </w:pPr>
      <w:rPr>
        <w:rFonts w:hint="default"/>
        <w:lang w:val="es-ES" w:eastAsia="en-US" w:bidi="ar-SA"/>
      </w:rPr>
    </w:lvl>
    <w:lvl w:ilvl="7">
      <w:numFmt w:val="bullet"/>
      <w:lvlText w:val="•"/>
      <w:lvlJc w:val="left"/>
      <w:pPr>
        <w:ind w:left="7339" w:hanging="707"/>
      </w:pPr>
      <w:rPr>
        <w:rFonts w:hint="default"/>
        <w:lang w:val="es-ES" w:eastAsia="en-US" w:bidi="ar-SA"/>
      </w:rPr>
    </w:lvl>
    <w:lvl w:ilvl="8">
      <w:numFmt w:val="bullet"/>
      <w:lvlText w:val="•"/>
      <w:lvlJc w:val="left"/>
      <w:pPr>
        <w:ind w:left="8028" w:hanging="707"/>
      </w:pPr>
      <w:rPr>
        <w:rFonts w:hint="default"/>
        <w:lang w:val="es-ES" w:eastAsia="en-US" w:bidi="ar-SA"/>
      </w:rPr>
    </w:lvl>
  </w:abstractNum>
  <w:abstractNum w:abstractNumId="29" w15:restartNumberingAfterBreak="0">
    <w:nsid w:val="76980942"/>
    <w:multiLevelType w:val="hybridMultilevel"/>
    <w:tmpl w:val="D0225C90"/>
    <w:lvl w:ilvl="0" w:tplc="240A0003">
      <w:start w:val="1"/>
      <w:numFmt w:val="bullet"/>
      <w:lvlText w:val="o"/>
      <w:lvlJc w:val="left"/>
      <w:pPr>
        <w:ind w:left="1463" w:hanging="360"/>
      </w:pPr>
      <w:rPr>
        <w:rFonts w:ascii="Courier New" w:hAnsi="Courier New" w:cs="Courier New" w:hint="default"/>
      </w:rPr>
    </w:lvl>
    <w:lvl w:ilvl="1" w:tplc="240A0003" w:tentative="1">
      <w:start w:val="1"/>
      <w:numFmt w:val="bullet"/>
      <w:lvlText w:val="o"/>
      <w:lvlJc w:val="left"/>
      <w:pPr>
        <w:ind w:left="2183" w:hanging="360"/>
      </w:pPr>
      <w:rPr>
        <w:rFonts w:ascii="Courier New" w:hAnsi="Courier New" w:cs="Courier New" w:hint="default"/>
      </w:rPr>
    </w:lvl>
    <w:lvl w:ilvl="2" w:tplc="240A0005" w:tentative="1">
      <w:start w:val="1"/>
      <w:numFmt w:val="bullet"/>
      <w:lvlText w:val=""/>
      <w:lvlJc w:val="left"/>
      <w:pPr>
        <w:ind w:left="2903" w:hanging="360"/>
      </w:pPr>
      <w:rPr>
        <w:rFonts w:ascii="Wingdings" w:hAnsi="Wingdings" w:hint="default"/>
      </w:rPr>
    </w:lvl>
    <w:lvl w:ilvl="3" w:tplc="240A0001" w:tentative="1">
      <w:start w:val="1"/>
      <w:numFmt w:val="bullet"/>
      <w:lvlText w:val=""/>
      <w:lvlJc w:val="left"/>
      <w:pPr>
        <w:ind w:left="3623" w:hanging="360"/>
      </w:pPr>
      <w:rPr>
        <w:rFonts w:ascii="Symbol" w:hAnsi="Symbol" w:hint="default"/>
      </w:rPr>
    </w:lvl>
    <w:lvl w:ilvl="4" w:tplc="240A0003" w:tentative="1">
      <w:start w:val="1"/>
      <w:numFmt w:val="bullet"/>
      <w:lvlText w:val="o"/>
      <w:lvlJc w:val="left"/>
      <w:pPr>
        <w:ind w:left="4343" w:hanging="360"/>
      </w:pPr>
      <w:rPr>
        <w:rFonts w:ascii="Courier New" w:hAnsi="Courier New" w:cs="Courier New" w:hint="default"/>
      </w:rPr>
    </w:lvl>
    <w:lvl w:ilvl="5" w:tplc="240A0005" w:tentative="1">
      <w:start w:val="1"/>
      <w:numFmt w:val="bullet"/>
      <w:lvlText w:val=""/>
      <w:lvlJc w:val="left"/>
      <w:pPr>
        <w:ind w:left="5063" w:hanging="360"/>
      </w:pPr>
      <w:rPr>
        <w:rFonts w:ascii="Wingdings" w:hAnsi="Wingdings" w:hint="default"/>
      </w:rPr>
    </w:lvl>
    <w:lvl w:ilvl="6" w:tplc="240A0001" w:tentative="1">
      <w:start w:val="1"/>
      <w:numFmt w:val="bullet"/>
      <w:lvlText w:val=""/>
      <w:lvlJc w:val="left"/>
      <w:pPr>
        <w:ind w:left="5783" w:hanging="360"/>
      </w:pPr>
      <w:rPr>
        <w:rFonts w:ascii="Symbol" w:hAnsi="Symbol" w:hint="default"/>
      </w:rPr>
    </w:lvl>
    <w:lvl w:ilvl="7" w:tplc="240A0003" w:tentative="1">
      <w:start w:val="1"/>
      <w:numFmt w:val="bullet"/>
      <w:lvlText w:val="o"/>
      <w:lvlJc w:val="left"/>
      <w:pPr>
        <w:ind w:left="6503" w:hanging="360"/>
      </w:pPr>
      <w:rPr>
        <w:rFonts w:ascii="Courier New" w:hAnsi="Courier New" w:cs="Courier New" w:hint="default"/>
      </w:rPr>
    </w:lvl>
    <w:lvl w:ilvl="8" w:tplc="240A0005" w:tentative="1">
      <w:start w:val="1"/>
      <w:numFmt w:val="bullet"/>
      <w:lvlText w:val=""/>
      <w:lvlJc w:val="left"/>
      <w:pPr>
        <w:ind w:left="7223" w:hanging="360"/>
      </w:pPr>
      <w:rPr>
        <w:rFonts w:ascii="Wingdings" w:hAnsi="Wingdings" w:hint="default"/>
      </w:rPr>
    </w:lvl>
  </w:abstractNum>
  <w:abstractNum w:abstractNumId="30" w15:restartNumberingAfterBreak="0">
    <w:nsid w:val="780E74A8"/>
    <w:multiLevelType w:val="multilevel"/>
    <w:tmpl w:val="357E9644"/>
    <w:numStyleLink w:val="dEFINITIVO"/>
  </w:abstractNum>
  <w:abstractNum w:abstractNumId="31" w15:restartNumberingAfterBreak="0">
    <w:nsid w:val="78A80759"/>
    <w:multiLevelType w:val="hybridMultilevel"/>
    <w:tmpl w:val="CE40F126"/>
    <w:lvl w:ilvl="0" w:tplc="FFFFFFFF">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EAA168B"/>
    <w:multiLevelType w:val="hybridMultilevel"/>
    <w:tmpl w:val="01C40B1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7"/>
  </w:num>
  <w:num w:numId="4">
    <w:abstractNumId w:val="23"/>
  </w:num>
  <w:num w:numId="5">
    <w:abstractNumId w:val="10"/>
  </w:num>
  <w:num w:numId="6">
    <w:abstractNumId w:val="12"/>
  </w:num>
  <w:num w:numId="7">
    <w:abstractNumId w:val="20"/>
  </w:num>
  <w:num w:numId="8">
    <w:abstractNumId w:val="8"/>
  </w:num>
  <w:num w:numId="9">
    <w:abstractNumId w:val="32"/>
  </w:num>
  <w:num w:numId="10">
    <w:abstractNumId w:val="31"/>
  </w:num>
  <w:num w:numId="11">
    <w:abstractNumId w:val="29"/>
  </w:num>
  <w:num w:numId="12">
    <w:abstractNumId w:val="6"/>
  </w:num>
  <w:num w:numId="13">
    <w:abstractNumId w:val="11"/>
    <w:lvlOverride w:ilvl="0">
      <w:startOverride w:val="1"/>
    </w:lvlOverride>
  </w:num>
  <w:num w:numId="14">
    <w:abstractNumId w:val="1"/>
    <w:lvlOverride w:ilvl="0">
      <w:startOverride w:val="1"/>
    </w:lvlOverride>
  </w:num>
  <w:num w:numId="15">
    <w:abstractNumId w:val="26"/>
  </w:num>
  <w:num w:numId="16">
    <w:abstractNumId w:val="18"/>
  </w:num>
  <w:num w:numId="17">
    <w:abstractNumId w:val="13"/>
  </w:num>
  <w:num w:numId="18">
    <w:abstractNumId w:val="21"/>
  </w:num>
  <w:num w:numId="19">
    <w:abstractNumId w:val="9"/>
  </w:num>
  <w:num w:numId="20">
    <w:abstractNumId w:val="3"/>
  </w:num>
  <w:num w:numId="21">
    <w:abstractNumId w:val="19"/>
  </w:num>
  <w:num w:numId="22">
    <w:abstractNumId w:val="4"/>
  </w:num>
  <w:num w:numId="23">
    <w:abstractNumId w:val="17"/>
  </w:num>
  <w:num w:numId="24">
    <w:abstractNumId w:val="15"/>
  </w:num>
  <w:num w:numId="25">
    <w:abstractNumId w:val="16"/>
  </w:num>
  <w:num w:numId="26">
    <w:abstractNumId w:val="27"/>
  </w:num>
  <w:num w:numId="27">
    <w:abstractNumId w:val="14"/>
  </w:num>
  <w:num w:numId="28">
    <w:abstractNumId w:val="25"/>
  </w:num>
  <w:num w:numId="29">
    <w:abstractNumId w:val="0"/>
  </w:num>
  <w:num w:numId="30">
    <w:abstractNumId w:val="30"/>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576"/>
    <w:rsid w:val="00000301"/>
    <w:rsid w:val="0000716B"/>
    <w:rsid w:val="000237B6"/>
    <w:rsid w:val="00026B94"/>
    <w:rsid w:val="000431E0"/>
    <w:rsid w:val="000470E0"/>
    <w:rsid w:val="00047646"/>
    <w:rsid w:val="0005486F"/>
    <w:rsid w:val="00071AB8"/>
    <w:rsid w:val="00097245"/>
    <w:rsid w:val="000B505B"/>
    <w:rsid w:val="000C0B1B"/>
    <w:rsid w:val="000E4827"/>
    <w:rsid w:val="000E7BE0"/>
    <w:rsid w:val="000F3DBB"/>
    <w:rsid w:val="000F45E5"/>
    <w:rsid w:val="000F5991"/>
    <w:rsid w:val="000F6232"/>
    <w:rsid w:val="0010077E"/>
    <w:rsid w:val="00102E94"/>
    <w:rsid w:val="00153F1C"/>
    <w:rsid w:val="001625D2"/>
    <w:rsid w:val="001806D3"/>
    <w:rsid w:val="0019679E"/>
    <w:rsid w:val="001A3015"/>
    <w:rsid w:val="001A48D7"/>
    <w:rsid w:val="001C735F"/>
    <w:rsid w:val="001C7B5A"/>
    <w:rsid w:val="001E2EB6"/>
    <w:rsid w:val="001F0CD7"/>
    <w:rsid w:val="001F21C4"/>
    <w:rsid w:val="001F3C2D"/>
    <w:rsid w:val="002047F5"/>
    <w:rsid w:val="00205CC7"/>
    <w:rsid w:val="00212DFF"/>
    <w:rsid w:val="00213C7C"/>
    <w:rsid w:val="0022202E"/>
    <w:rsid w:val="0022229D"/>
    <w:rsid w:val="00224FB9"/>
    <w:rsid w:val="002264CF"/>
    <w:rsid w:val="00236D59"/>
    <w:rsid w:val="0023744D"/>
    <w:rsid w:val="00242D13"/>
    <w:rsid w:val="00246258"/>
    <w:rsid w:val="002621FF"/>
    <w:rsid w:val="002730D7"/>
    <w:rsid w:val="002930D6"/>
    <w:rsid w:val="0029557B"/>
    <w:rsid w:val="002A083C"/>
    <w:rsid w:val="002B6E73"/>
    <w:rsid w:val="002C09B0"/>
    <w:rsid w:val="002C2E70"/>
    <w:rsid w:val="002C5324"/>
    <w:rsid w:val="002D2A0F"/>
    <w:rsid w:val="002F6ED5"/>
    <w:rsid w:val="002F7BA2"/>
    <w:rsid w:val="00301E50"/>
    <w:rsid w:val="00307E3C"/>
    <w:rsid w:val="00322576"/>
    <w:rsid w:val="003350BC"/>
    <w:rsid w:val="00340463"/>
    <w:rsid w:val="0034238B"/>
    <w:rsid w:val="0034389D"/>
    <w:rsid w:val="003542A5"/>
    <w:rsid w:val="003633D0"/>
    <w:rsid w:val="00375A10"/>
    <w:rsid w:val="00382445"/>
    <w:rsid w:val="00395BC1"/>
    <w:rsid w:val="003A4265"/>
    <w:rsid w:val="003B5756"/>
    <w:rsid w:val="003C26DC"/>
    <w:rsid w:val="003C42B4"/>
    <w:rsid w:val="003E4B9E"/>
    <w:rsid w:val="003E610F"/>
    <w:rsid w:val="0040055B"/>
    <w:rsid w:val="0040331F"/>
    <w:rsid w:val="00403D9B"/>
    <w:rsid w:val="00404193"/>
    <w:rsid w:val="004204BE"/>
    <w:rsid w:val="00420CB3"/>
    <w:rsid w:val="004230DC"/>
    <w:rsid w:val="00426849"/>
    <w:rsid w:val="00427F8B"/>
    <w:rsid w:val="004337F5"/>
    <w:rsid w:val="00440051"/>
    <w:rsid w:val="00442189"/>
    <w:rsid w:val="00461BBA"/>
    <w:rsid w:val="00461C06"/>
    <w:rsid w:val="004624B4"/>
    <w:rsid w:val="004643D7"/>
    <w:rsid w:val="00467EBD"/>
    <w:rsid w:val="00474ED0"/>
    <w:rsid w:val="00483C69"/>
    <w:rsid w:val="004A3C6B"/>
    <w:rsid w:val="004B1776"/>
    <w:rsid w:val="004B40F8"/>
    <w:rsid w:val="004D03FC"/>
    <w:rsid w:val="004E724D"/>
    <w:rsid w:val="004F3117"/>
    <w:rsid w:val="005059F3"/>
    <w:rsid w:val="0051046C"/>
    <w:rsid w:val="005213BF"/>
    <w:rsid w:val="00524125"/>
    <w:rsid w:val="00527B41"/>
    <w:rsid w:val="00541BC3"/>
    <w:rsid w:val="00556E8B"/>
    <w:rsid w:val="00562731"/>
    <w:rsid w:val="005726D2"/>
    <w:rsid w:val="0057371E"/>
    <w:rsid w:val="0057640F"/>
    <w:rsid w:val="005803DF"/>
    <w:rsid w:val="00581A55"/>
    <w:rsid w:val="005B7EDF"/>
    <w:rsid w:val="005C5339"/>
    <w:rsid w:val="005E4077"/>
    <w:rsid w:val="00605BF4"/>
    <w:rsid w:val="00612B92"/>
    <w:rsid w:val="0061716B"/>
    <w:rsid w:val="00627D1F"/>
    <w:rsid w:val="0063233F"/>
    <w:rsid w:val="00643C88"/>
    <w:rsid w:val="0064724C"/>
    <w:rsid w:val="006472E9"/>
    <w:rsid w:val="00647C87"/>
    <w:rsid w:val="006605A5"/>
    <w:rsid w:val="00667A4D"/>
    <w:rsid w:val="00676B53"/>
    <w:rsid w:val="006775E1"/>
    <w:rsid w:val="00683188"/>
    <w:rsid w:val="00686520"/>
    <w:rsid w:val="006962F3"/>
    <w:rsid w:val="006B0EC5"/>
    <w:rsid w:val="006B61CB"/>
    <w:rsid w:val="006B7E3B"/>
    <w:rsid w:val="006B7EB4"/>
    <w:rsid w:val="006E074D"/>
    <w:rsid w:val="007028A0"/>
    <w:rsid w:val="007055A4"/>
    <w:rsid w:val="007077B8"/>
    <w:rsid w:val="00711D0A"/>
    <w:rsid w:val="0074383F"/>
    <w:rsid w:val="00747CF1"/>
    <w:rsid w:val="00755541"/>
    <w:rsid w:val="007634A7"/>
    <w:rsid w:val="0076441D"/>
    <w:rsid w:val="00767F7C"/>
    <w:rsid w:val="0077088E"/>
    <w:rsid w:val="0077714B"/>
    <w:rsid w:val="007869A4"/>
    <w:rsid w:val="00787C85"/>
    <w:rsid w:val="007952EE"/>
    <w:rsid w:val="007955B1"/>
    <w:rsid w:val="007A6E17"/>
    <w:rsid w:val="007C129A"/>
    <w:rsid w:val="007D3C35"/>
    <w:rsid w:val="007E5DFE"/>
    <w:rsid w:val="007F2520"/>
    <w:rsid w:val="008165FB"/>
    <w:rsid w:val="008278AF"/>
    <w:rsid w:val="00832078"/>
    <w:rsid w:val="00835E74"/>
    <w:rsid w:val="00840199"/>
    <w:rsid w:val="00850FC5"/>
    <w:rsid w:val="008537DA"/>
    <w:rsid w:val="00874209"/>
    <w:rsid w:val="008A1067"/>
    <w:rsid w:val="008A43DF"/>
    <w:rsid w:val="008A6706"/>
    <w:rsid w:val="008B6593"/>
    <w:rsid w:val="008C4328"/>
    <w:rsid w:val="008D5919"/>
    <w:rsid w:val="008E6B53"/>
    <w:rsid w:val="008F2E88"/>
    <w:rsid w:val="0090303C"/>
    <w:rsid w:val="009067EB"/>
    <w:rsid w:val="009071FA"/>
    <w:rsid w:val="009141E1"/>
    <w:rsid w:val="00921650"/>
    <w:rsid w:val="00925604"/>
    <w:rsid w:val="00937110"/>
    <w:rsid w:val="00953148"/>
    <w:rsid w:val="009540EA"/>
    <w:rsid w:val="00964BB3"/>
    <w:rsid w:val="009655C5"/>
    <w:rsid w:val="00966E78"/>
    <w:rsid w:val="00983D72"/>
    <w:rsid w:val="00986A95"/>
    <w:rsid w:val="0099767B"/>
    <w:rsid w:val="009A215C"/>
    <w:rsid w:val="009A2362"/>
    <w:rsid w:val="009B2478"/>
    <w:rsid w:val="009B4F95"/>
    <w:rsid w:val="009B555C"/>
    <w:rsid w:val="009D5663"/>
    <w:rsid w:val="009D77B8"/>
    <w:rsid w:val="009E7CF0"/>
    <w:rsid w:val="009F5581"/>
    <w:rsid w:val="00A031AA"/>
    <w:rsid w:val="00A05287"/>
    <w:rsid w:val="00A21EBD"/>
    <w:rsid w:val="00A27E9B"/>
    <w:rsid w:val="00A429DD"/>
    <w:rsid w:val="00A4367F"/>
    <w:rsid w:val="00A63C48"/>
    <w:rsid w:val="00A66FC9"/>
    <w:rsid w:val="00A7059A"/>
    <w:rsid w:val="00A738D8"/>
    <w:rsid w:val="00A751CD"/>
    <w:rsid w:val="00A7649F"/>
    <w:rsid w:val="00A76D77"/>
    <w:rsid w:val="00A81439"/>
    <w:rsid w:val="00AA0DD6"/>
    <w:rsid w:val="00AA528A"/>
    <w:rsid w:val="00AA6899"/>
    <w:rsid w:val="00AA74A5"/>
    <w:rsid w:val="00AB16AE"/>
    <w:rsid w:val="00AB6DDC"/>
    <w:rsid w:val="00AD05F4"/>
    <w:rsid w:val="00AD2822"/>
    <w:rsid w:val="00AD7692"/>
    <w:rsid w:val="00B0544A"/>
    <w:rsid w:val="00B2635B"/>
    <w:rsid w:val="00B34D3E"/>
    <w:rsid w:val="00B4127A"/>
    <w:rsid w:val="00B60773"/>
    <w:rsid w:val="00B7774F"/>
    <w:rsid w:val="00B91187"/>
    <w:rsid w:val="00B9197A"/>
    <w:rsid w:val="00BC4050"/>
    <w:rsid w:val="00BD1B93"/>
    <w:rsid w:val="00BE3F39"/>
    <w:rsid w:val="00C014C3"/>
    <w:rsid w:val="00C34D4A"/>
    <w:rsid w:val="00C40654"/>
    <w:rsid w:val="00C42DEA"/>
    <w:rsid w:val="00C54C7D"/>
    <w:rsid w:val="00C64B46"/>
    <w:rsid w:val="00C82F92"/>
    <w:rsid w:val="00C8561D"/>
    <w:rsid w:val="00C920DF"/>
    <w:rsid w:val="00CE10F9"/>
    <w:rsid w:val="00CE3EB0"/>
    <w:rsid w:val="00CF03D2"/>
    <w:rsid w:val="00CF13E4"/>
    <w:rsid w:val="00CF377D"/>
    <w:rsid w:val="00CF6198"/>
    <w:rsid w:val="00D076AC"/>
    <w:rsid w:val="00D15A82"/>
    <w:rsid w:val="00D16B5B"/>
    <w:rsid w:val="00D34BC8"/>
    <w:rsid w:val="00D50A94"/>
    <w:rsid w:val="00D51C2C"/>
    <w:rsid w:val="00D5437D"/>
    <w:rsid w:val="00D55A15"/>
    <w:rsid w:val="00D65627"/>
    <w:rsid w:val="00D723D3"/>
    <w:rsid w:val="00D75650"/>
    <w:rsid w:val="00D80A87"/>
    <w:rsid w:val="00D82B26"/>
    <w:rsid w:val="00DB7E08"/>
    <w:rsid w:val="00DF0A39"/>
    <w:rsid w:val="00DF674B"/>
    <w:rsid w:val="00E00F7F"/>
    <w:rsid w:val="00E125ED"/>
    <w:rsid w:val="00E25C50"/>
    <w:rsid w:val="00E268FB"/>
    <w:rsid w:val="00E3108F"/>
    <w:rsid w:val="00E327AB"/>
    <w:rsid w:val="00E36440"/>
    <w:rsid w:val="00E519D6"/>
    <w:rsid w:val="00E60BC9"/>
    <w:rsid w:val="00E74C10"/>
    <w:rsid w:val="00E865DD"/>
    <w:rsid w:val="00EA568B"/>
    <w:rsid w:val="00EA6D48"/>
    <w:rsid w:val="00EB5D45"/>
    <w:rsid w:val="00ED2DDA"/>
    <w:rsid w:val="00EE1ED0"/>
    <w:rsid w:val="00EF16C9"/>
    <w:rsid w:val="00EF228C"/>
    <w:rsid w:val="00EF7053"/>
    <w:rsid w:val="00F11756"/>
    <w:rsid w:val="00F118CB"/>
    <w:rsid w:val="00F118FB"/>
    <w:rsid w:val="00F23324"/>
    <w:rsid w:val="00F24061"/>
    <w:rsid w:val="00F268FE"/>
    <w:rsid w:val="00F26955"/>
    <w:rsid w:val="00F34AD2"/>
    <w:rsid w:val="00F6036A"/>
    <w:rsid w:val="00F71B5C"/>
    <w:rsid w:val="00F806CE"/>
    <w:rsid w:val="00F8288F"/>
    <w:rsid w:val="00F854AB"/>
    <w:rsid w:val="00F948CA"/>
    <w:rsid w:val="00F95476"/>
    <w:rsid w:val="00F96BD7"/>
    <w:rsid w:val="00FA6FEA"/>
    <w:rsid w:val="00FB0B54"/>
    <w:rsid w:val="00FC1E09"/>
    <w:rsid w:val="00FC2864"/>
    <w:rsid w:val="00FC4DE0"/>
    <w:rsid w:val="00FC4F78"/>
    <w:rsid w:val="00FC7A7B"/>
    <w:rsid w:val="00FD07F1"/>
    <w:rsid w:val="00FD736B"/>
    <w:rsid w:val="00FE4C2E"/>
    <w:rsid w:val="00FE61E2"/>
    <w:rsid w:val="00FF65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68CDA"/>
  <w15:chartTrackingRefBased/>
  <w15:docId w15:val="{9518E4D8-893C-41AC-B828-419199C61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HAnsi"/>
        <w:iCs/>
        <w:sz w:val="24"/>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DFE"/>
    <w:pPr>
      <w:spacing w:line="480" w:lineRule="auto"/>
      <w:ind w:firstLine="709"/>
      <w:jc w:val="both"/>
    </w:pPr>
  </w:style>
  <w:style w:type="paragraph" w:styleId="Ttulo1">
    <w:name w:val="heading 1"/>
    <w:basedOn w:val="Normal"/>
    <w:link w:val="Ttulo1Car"/>
    <w:autoRedefine/>
    <w:uiPriority w:val="9"/>
    <w:qFormat/>
    <w:rsid w:val="00787C85"/>
    <w:pPr>
      <w:keepNext/>
      <w:keepLines/>
      <w:spacing w:before="200" w:after="80"/>
      <w:ind w:left="420" w:hanging="420"/>
      <w:jc w:val="center"/>
      <w:outlineLvl w:val="0"/>
    </w:pPr>
    <w:rPr>
      <w:rFonts w:eastAsiaTheme="majorEastAsia" w:cstheme="majorBidi"/>
      <w:b/>
      <w:szCs w:val="40"/>
    </w:rPr>
  </w:style>
  <w:style w:type="paragraph" w:styleId="Ttulo2">
    <w:name w:val="heading 2"/>
    <w:basedOn w:val="Normal"/>
    <w:link w:val="Ttulo2Car"/>
    <w:autoRedefine/>
    <w:uiPriority w:val="9"/>
    <w:unhideWhenUsed/>
    <w:qFormat/>
    <w:rsid w:val="009655C5"/>
    <w:pPr>
      <w:keepNext/>
      <w:keepLines/>
      <w:numPr>
        <w:ilvl w:val="1"/>
        <w:numId w:val="34"/>
      </w:numPr>
      <w:spacing w:before="200" w:after="120"/>
      <w:outlineLvl w:val="1"/>
    </w:pPr>
    <w:rPr>
      <w:rFonts w:eastAsiaTheme="majorEastAsia" w:cs="Times New Roman"/>
      <w:b/>
      <w:szCs w:val="24"/>
    </w:rPr>
  </w:style>
  <w:style w:type="paragraph" w:styleId="Ttulo3">
    <w:name w:val="heading 3"/>
    <w:basedOn w:val="Normal"/>
    <w:next w:val="Normal"/>
    <w:link w:val="Ttulo3Car"/>
    <w:uiPriority w:val="9"/>
    <w:semiHidden/>
    <w:unhideWhenUsed/>
    <w:qFormat/>
    <w:rsid w:val="00322576"/>
    <w:pPr>
      <w:keepNext/>
      <w:keepLines/>
      <w:numPr>
        <w:ilvl w:val="2"/>
        <w:numId w:val="32"/>
      </w:numPr>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22576"/>
    <w:pPr>
      <w:keepNext/>
      <w:keepLines/>
      <w:numPr>
        <w:ilvl w:val="3"/>
        <w:numId w:val="32"/>
      </w:numPr>
      <w:spacing w:before="80" w:after="40"/>
      <w:outlineLvl w:val="3"/>
    </w:pPr>
    <w:rPr>
      <w:rFonts w:eastAsiaTheme="majorEastAsia" w:cstheme="majorBidi"/>
      <w:i/>
      <w:iCs w:val="0"/>
      <w:color w:val="2F5496" w:themeColor="accent1" w:themeShade="BF"/>
    </w:rPr>
  </w:style>
  <w:style w:type="paragraph" w:styleId="Ttulo5">
    <w:name w:val="heading 5"/>
    <w:basedOn w:val="Normal"/>
    <w:next w:val="Normal"/>
    <w:link w:val="Ttulo5Car"/>
    <w:uiPriority w:val="9"/>
    <w:semiHidden/>
    <w:unhideWhenUsed/>
    <w:qFormat/>
    <w:rsid w:val="00322576"/>
    <w:pPr>
      <w:keepNext/>
      <w:keepLines/>
      <w:numPr>
        <w:ilvl w:val="4"/>
        <w:numId w:val="32"/>
      </w:numPr>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22576"/>
    <w:pPr>
      <w:keepNext/>
      <w:keepLines/>
      <w:numPr>
        <w:ilvl w:val="5"/>
        <w:numId w:val="32"/>
      </w:numPr>
      <w:spacing w:before="40" w:after="0"/>
      <w:outlineLvl w:val="5"/>
    </w:pPr>
    <w:rPr>
      <w:rFonts w:eastAsiaTheme="majorEastAsia" w:cstheme="majorBidi"/>
      <w:i/>
      <w:iCs w:val="0"/>
      <w:color w:val="595959" w:themeColor="text1" w:themeTint="A6"/>
    </w:rPr>
  </w:style>
  <w:style w:type="paragraph" w:styleId="Ttulo7">
    <w:name w:val="heading 7"/>
    <w:basedOn w:val="Normal"/>
    <w:next w:val="Normal"/>
    <w:link w:val="Ttulo7Car"/>
    <w:uiPriority w:val="9"/>
    <w:semiHidden/>
    <w:unhideWhenUsed/>
    <w:qFormat/>
    <w:rsid w:val="00322576"/>
    <w:pPr>
      <w:keepNext/>
      <w:keepLines/>
      <w:numPr>
        <w:ilvl w:val="6"/>
        <w:numId w:val="32"/>
      </w:numPr>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22576"/>
    <w:pPr>
      <w:keepNext/>
      <w:keepLines/>
      <w:numPr>
        <w:ilvl w:val="7"/>
        <w:numId w:val="32"/>
      </w:numPr>
      <w:spacing w:after="0"/>
      <w:outlineLvl w:val="7"/>
    </w:pPr>
    <w:rPr>
      <w:rFonts w:eastAsiaTheme="majorEastAsia" w:cstheme="majorBidi"/>
      <w:i/>
      <w:iCs w:val="0"/>
      <w:color w:val="272727" w:themeColor="text1" w:themeTint="D8"/>
    </w:rPr>
  </w:style>
  <w:style w:type="paragraph" w:styleId="Ttulo9">
    <w:name w:val="heading 9"/>
    <w:basedOn w:val="Normal"/>
    <w:next w:val="Normal"/>
    <w:link w:val="Ttulo9Car"/>
    <w:uiPriority w:val="9"/>
    <w:semiHidden/>
    <w:unhideWhenUsed/>
    <w:qFormat/>
    <w:rsid w:val="00322576"/>
    <w:pPr>
      <w:keepNext/>
      <w:keepLines/>
      <w:numPr>
        <w:ilvl w:val="8"/>
        <w:numId w:val="32"/>
      </w:numPr>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87C85"/>
    <w:rPr>
      <w:rFonts w:eastAsiaTheme="majorEastAsia" w:cstheme="majorBidi"/>
      <w:b/>
      <w:szCs w:val="40"/>
    </w:rPr>
  </w:style>
  <w:style w:type="character" w:customStyle="1" w:styleId="Ttulo2Car">
    <w:name w:val="Título 2 Car"/>
    <w:basedOn w:val="Fuentedeprrafopredeter"/>
    <w:link w:val="Ttulo2"/>
    <w:uiPriority w:val="9"/>
    <w:rsid w:val="009655C5"/>
    <w:rPr>
      <w:rFonts w:eastAsiaTheme="majorEastAsia" w:cs="Times New Roman"/>
      <w:b/>
      <w:szCs w:val="24"/>
    </w:rPr>
  </w:style>
  <w:style w:type="character" w:customStyle="1" w:styleId="Ttulo3Car">
    <w:name w:val="Título 3 Car"/>
    <w:basedOn w:val="Fuentedeprrafopredeter"/>
    <w:link w:val="Ttulo3"/>
    <w:uiPriority w:val="9"/>
    <w:semiHidden/>
    <w:rsid w:val="00322576"/>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22576"/>
    <w:rPr>
      <w:rFonts w:eastAsiaTheme="majorEastAsia" w:cstheme="majorBidi"/>
      <w:i/>
      <w:iCs w:val="0"/>
      <w:color w:val="2F5496" w:themeColor="accent1" w:themeShade="BF"/>
    </w:rPr>
  </w:style>
  <w:style w:type="character" w:customStyle="1" w:styleId="Ttulo5Car">
    <w:name w:val="Título 5 Car"/>
    <w:basedOn w:val="Fuentedeprrafopredeter"/>
    <w:link w:val="Ttulo5"/>
    <w:uiPriority w:val="9"/>
    <w:semiHidden/>
    <w:rsid w:val="00322576"/>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22576"/>
    <w:rPr>
      <w:rFonts w:eastAsiaTheme="majorEastAsia" w:cstheme="majorBidi"/>
      <w:i/>
      <w:iCs w:val="0"/>
      <w:color w:val="595959" w:themeColor="text1" w:themeTint="A6"/>
    </w:rPr>
  </w:style>
  <w:style w:type="character" w:customStyle="1" w:styleId="Ttulo7Car">
    <w:name w:val="Título 7 Car"/>
    <w:basedOn w:val="Fuentedeprrafopredeter"/>
    <w:link w:val="Ttulo7"/>
    <w:uiPriority w:val="9"/>
    <w:semiHidden/>
    <w:rsid w:val="0032257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22576"/>
    <w:rPr>
      <w:rFonts w:eastAsiaTheme="majorEastAsia" w:cstheme="majorBidi"/>
      <w:i/>
      <w:iCs w:val="0"/>
      <w:color w:val="272727" w:themeColor="text1" w:themeTint="D8"/>
    </w:rPr>
  </w:style>
  <w:style w:type="character" w:customStyle="1" w:styleId="Ttulo9Car">
    <w:name w:val="Título 9 Car"/>
    <w:basedOn w:val="Fuentedeprrafopredeter"/>
    <w:link w:val="Ttulo9"/>
    <w:uiPriority w:val="9"/>
    <w:semiHidden/>
    <w:rsid w:val="00322576"/>
    <w:rPr>
      <w:rFonts w:eastAsiaTheme="majorEastAsia" w:cstheme="majorBidi"/>
      <w:color w:val="272727" w:themeColor="text1" w:themeTint="D8"/>
    </w:rPr>
  </w:style>
  <w:style w:type="paragraph" w:styleId="Ttulo">
    <w:name w:val="Title"/>
    <w:basedOn w:val="Normal"/>
    <w:next w:val="Normal"/>
    <w:link w:val="TtuloCar"/>
    <w:uiPriority w:val="10"/>
    <w:qFormat/>
    <w:rsid w:val="003225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2257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22576"/>
    <w:pPr>
      <w:numPr>
        <w:ilvl w:val="1"/>
      </w:numPr>
      <w:ind w:firstLine="709"/>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2257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22576"/>
    <w:pPr>
      <w:spacing w:before="160"/>
      <w:jc w:val="center"/>
    </w:pPr>
    <w:rPr>
      <w:i/>
      <w:iCs w:val="0"/>
      <w:color w:val="404040" w:themeColor="text1" w:themeTint="BF"/>
    </w:rPr>
  </w:style>
  <w:style w:type="character" w:customStyle="1" w:styleId="CitaCar">
    <w:name w:val="Cita Car"/>
    <w:basedOn w:val="Fuentedeprrafopredeter"/>
    <w:link w:val="Cita"/>
    <w:uiPriority w:val="29"/>
    <w:rsid w:val="00322576"/>
    <w:rPr>
      <w:i/>
      <w:iCs w:val="0"/>
      <w:color w:val="404040" w:themeColor="text1" w:themeTint="BF"/>
    </w:rPr>
  </w:style>
  <w:style w:type="paragraph" w:styleId="Prrafodelista">
    <w:name w:val="List Paragraph"/>
    <w:basedOn w:val="Normal"/>
    <w:qFormat/>
    <w:rsid w:val="00322576"/>
    <w:pPr>
      <w:ind w:left="720"/>
      <w:contextualSpacing/>
    </w:pPr>
  </w:style>
  <w:style w:type="character" w:styleId="nfasisintenso">
    <w:name w:val="Intense Emphasis"/>
    <w:basedOn w:val="Fuentedeprrafopredeter"/>
    <w:uiPriority w:val="21"/>
    <w:qFormat/>
    <w:rsid w:val="00322576"/>
    <w:rPr>
      <w:i/>
      <w:iCs w:val="0"/>
      <w:color w:val="2F5496" w:themeColor="accent1" w:themeShade="BF"/>
    </w:rPr>
  </w:style>
  <w:style w:type="paragraph" w:styleId="Citadestacada">
    <w:name w:val="Intense Quote"/>
    <w:basedOn w:val="Normal"/>
    <w:next w:val="Normal"/>
    <w:link w:val="CitadestacadaCar"/>
    <w:uiPriority w:val="30"/>
    <w:qFormat/>
    <w:rsid w:val="00322576"/>
    <w:pPr>
      <w:pBdr>
        <w:top w:val="single" w:sz="4" w:space="10" w:color="2F5496" w:themeColor="accent1" w:themeShade="BF"/>
        <w:bottom w:val="single" w:sz="4" w:space="10" w:color="2F5496" w:themeColor="accent1" w:themeShade="BF"/>
      </w:pBdr>
      <w:spacing w:before="360" w:after="360"/>
      <w:ind w:left="864" w:right="864"/>
      <w:jc w:val="center"/>
    </w:pPr>
    <w:rPr>
      <w:i/>
      <w:iCs w:val="0"/>
      <w:color w:val="2F5496" w:themeColor="accent1" w:themeShade="BF"/>
    </w:rPr>
  </w:style>
  <w:style w:type="character" w:customStyle="1" w:styleId="CitadestacadaCar">
    <w:name w:val="Cita destacada Car"/>
    <w:basedOn w:val="Fuentedeprrafopredeter"/>
    <w:link w:val="Citadestacada"/>
    <w:uiPriority w:val="30"/>
    <w:rsid w:val="00322576"/>
    <w:rPr>
      <w:i/>
      <w:iCs w:val="0"/>
      <w:color w:val="2F5496" w:themeColor="accent1" w:themeShade="BF"/>
    </w:rPr>
  </w:style>
  <w:style w:type="character" w:styleId="Referenciaintensa">
    <w:name w:val="Intense Reference"/>
    <w:basedOn w:val="Fuentedeprrafopredeter"/>
    <w:uiPriority w:val="32"/>
    <w:qFormat/>
    <w:rsid w:val="00322576"/>
    <w:rPr>
      <w:b/>
      <w:bCs/>
      <w:smallCaps/>
      <w:color w:val="2F5496" w:themeColor="accent1" w:themeShade="BF"/>
      <w:spacing w:val="5"/>
    </w:rPr>
  </w:style>
  <w:style w:type="table" w:styleId="Tablaconcuadrcula">
    <w:name w:val="Table Grid"/>
    <w:basedOn w:val="Tablanormal"/>
    <w:uiPriority w:val="39"/>
    <w:rsid w:val="00755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7E5DFE"/>
    <w:pPr>
      <w:widowControl w:val="0"/>
      <w:autoSpaceDE w:val="0"/>
      <w:autoSpaceDN w:val="0"/>
      <w:spacing w:after="0"/>
    </w:pPr>
    <w:rPr>
      <w:rFonts w:eastAsia="Times New Roman" w:cs="Times New Roman"/>
      <w:szCs w:val="24"/>
      <w:lang w:val="es-ES"/>
    </w:rPr>
  </w:style>
  <w:style w:type="character" w:customStyle="1" w:styleId="TextoindependienteCar">
    <w:name w:val="Texto independiente Car"/>
    <w:basedOn w:val="Fuentedeprrafopredeter"/>
    <w:link w:val="Textoindependiente"/>
    <w:uiPriority w:val="1"/>
    <w:rsid w:val="007E5DFE"/>
    <w:rPr>
      <w:rFonts w:ascii="Arial" w:eastAsia="Times New Roman" w:hAnsi="Arial" w:cs="Times New Roman"/>
      <w:sz w:val="24"/>
      <w:szCs w:val="24"/>
      <w:lang w:val="es-ES"/>
    </w:rPr>
  </w:style>
  <w:style w:type="character" w:styleId="nfasis">
    <w:name w:val="Emphasis"/>
    <w:basedOn w:val="Fuentedeprrafopredeter"/>
    <w:uiPriority w:val="20"/>
    <w:qFormat/>
    <w:rsid w:val="00EF228C"/>
    <w:rPr>
      <w:i/>
      <w:iCs w:val="0"/>
    </w:rPr>
  </w:style>
  <w:style w:type="character" w:styleId="Hipervnculo">
    <w:name w:val="Hyperlink"/>
    <w:basedOn w:val="Fuentedeprrafopredeter"/>
    <w:uiPriority w:val="99"/>
    <w:unhideWhenUsed/>
    <w:rsid w:val="00EF228C"/>
    <w:rPr>
      <w:color w:val="0000FF"/>
      <w:u w:val="single"/>
    </w:rPr>
  </w:style>
  <w:style w:type="paragraph" w:customStyle="1" w:styleId="font-claude-response-body">
    <w:name w:val="font-claude-response-body"/>
    <w:basedOn w:val="Normal"/>
    <w:rsid w:val="000F5991"/>
    <w:pPr>
      <w:spacing w:before="100" w:beforeAutospacing="1" w:after="100" w:afterAutospacing="1" w:line="240" w:lineRule="auto"/>
    </w:pPr>
    <w:rPr>
      <w:rFonts w:eastAsia="Times New Roman" w:cs="Times New Roman"/>
      <w:szCs w:val="24"/>
      <w:lang w:val="de-DE" w:eastAsia="de-DE"/>
    </w:rPr>
  </w:style>
  <w:style w:type="character" w:styleId="Textoennegrita">
    <w:name w:val="Strong"/>
    <w:basedOn w:val="Fuentedeprrafopredeter"/>
    <w:uiPriority w:val="22"/>
    <w:qFormat/>
    <w:rsid w:val="000F5991"/>
    <w:rPr>
      <w:b/>
      <w:bCs/>
    </w:rPr>
  </w:style>
  <w:style w:type="paragraph" w:customStyle="1" w:styleId="Titulo3">
    <w:name w:val="Titulo 3"/>
    <w:basedOn w:val="Normal"/>
    <w:next w:val="Normal"/>
    <w:qFormat/>
    <w:rsid w:val="009655C5"/>
    <w:pPr>
      <w:ind w:firstLine="0"/>
    </w:pPr>
  </w:style>
  <w:style w:type="paragraph" w:customStyle="1" w:styleId="Tabla">
    <w:name w:val="Tabla"/>
    <w:basedOn w:val="Normal"/>
    <w:qFormat/>
    <w:rsid w:val="0077714B"/>
    <w:pPr>
      <w:spacing w:before="200" w:after="120"/>
      <w:ind w:firstLine="0"/>
    </w:pPr>
    <w:rPr>
      <w:b/>
    </w:rPr>
  </w:style>
  <w:style w:type="paragraph" w:customStyle="1" w:styleId="Figuras">
    <w:name w:val="Figuras"/>
    <w:basedOn w:val="Normal"/>
    <w:qFormat/>
    <w:rsid w:val="00E125ED"/>
    <w:pPr>
      <w:spacing w:before="200"/>
      <w:ind w:firstLine="0"/>
    </w:pPr>
    <w:rPr>
      <w:b/>
    </w:rPr>
  </w:style>
  <w:style w:type="paragraph" w:styleId="TDC1">
    <w:name w:val="toc 1"/>
    <w:basedOn w:val="Normal"/>
    <w:next w:val="Normal"/>
    <w:autoRedefine/>
    <w:uiPriority w:val="39"/>
    <w:unhideWhenUsed/>
    <w:rsid w:val="005726D2"/>
    <w:pPr>
      <w:spacing w:before="240" w:after="120"/>
      <w:ind w:firstLine="0"/>
    </w:pPr>
    <w:rPr>
      <w:bCs/>
    </w:rPr>
  </w:style>
  <w:style w:type="paragraph" w:styleId="TDC2">
    <w:name w:val="toc 2"/>
    <w:basedOn w:val="Normal"/>
    <w:next w:val="Normal"/>
    <w:autoRedefine/>
    <w:uiPriority w:val="39"/>
    <w:unhideWhenUsed/>
    <w:rsid w:val="00D076AC"/>
    <w:pPr>
      <w:spacing w:before="120" w:after="0"/>
      <w:ind w:left="238" w:firstLine="0"/>
    </w:pPr>
    <w:rPr>
      <w:rFonts w:cs="Times New Roman"/>
      <w:bCs/>
      <w:szCs w:val="24"/>
    </w:rPr>
  </w:style>
  <w:style w:type="paragraph" w:styleId="Revisin">
    <w:name w:val="Revision"/>
    <w:hidden/>
    <w:uiPriority w:val="99"/>
    <w:semiHidden/>
    <w:rsid w:val="00BC4050"/>
    <w:pPr>
      <w:spacing w:after="0" w:line="240" w:lineRule="auto"/>
    </w:pPr>
    <w:rPr>
      <w:rFonts w:ascii="Arial" w:hAnsi="Arial"/>
    </w:rPr>
  </w:style>
  <w:style w:type="character" w:styleId="Refdecomentario">
    <w:name w:val="annotation reference"/>
    <w:basedOn w:val="Fuentedeprrafopredeter"/>
    <w:uiPriority w:val="99"/>
    <w:semiHidden/>
    <w:unhideWhenUsed/>
    <w:rsid w:val="00BC4050"/>
    <w:rPr>
      <w:sz w:val="16"/>
      <w:szCs w:val="16"/>
    </w:rPr>
  </w:style>
  <w:style w:type="paragraph" w:styleId="Textocomentario">
    <w:name w:val="annotation text"/>
    <w:basedOn w:val="Normal"/>
    <w:link w:val="TextocomentarioCar"/>
    <w:uiPriority w:val="99"/>
    <w:unhideWhenUsed/>
    <w:rsid w:val="00BC4050"/>
    <w:pPr>
      <w:spacing w:line="240" w:lineRule="auto"/>
    </w:pPr>
    <w:rPr>
      <w:sz w:val="20"/>
    </w:rPr>
  </w:style>
  <w:style w:type="character" w:customStyle="1" w:styleId="TextocomentarioCar">
    <w:name w:val="Texto comentario Car"/>
    <w:basedOn w:val="Fuentedeprrafopredeter"/>
    <w:link w:val="Textocomentario"/>
    <w:uiPriority w:val="99"/>
    <w:rsid w:val="00BC4050"/>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BC4050"/>
    <w:rPr>
      <w:b/>
      <w:bCs/>
    </w:rPr>
  </w:style>
  <w:style w:type="character" w:customStyle="1" w:styleId="AsuntodelcomentarioCar">
    <w:name w:val="Asunto del comentario Car"/>
    <w:basedOn w:val="TextocomentarioCar"/>
    <w:link w:val="Asuntodelcomentario"/>
    <w:uiPriority w:val="99"/>
    <w:semiHidden/>
    <w:rsid w:val="00BC4050"/>
    <w:rPr>
      <w:rFonts w:ascii="Arial" w:hAnsi="Arial"/>
      <w:b/>
      <w:bCs/>
      <w:sz w:val="20"/>
      <w:szCs w:val="20"/>
    </w:rPr>
  </w:style>
  <w:style w:type="paragraph" w:styleId="TDC3">
    <w:name w:val="toc 3"/>
    <w:basedOn w:val="Normal"/>
    <w:next w:val="Normal"/>
    <w:autoRedefine/>
    <w:uiPriority w:val="39"/>
    <w:unhideWhenUsed/>
    <w:rsid w:val="00D076AC"/>
    <w:pPr>
      <w:spacing w:after="0"/>
      <w:ind w:left="482" w:firstLine="0"/>
    </w:pPr>
  </w:style>
  <w:style w:type="paragraph" w:styleId="TDC4">
    <w:name w:val="toc 4"/>
    <w:basedOn w:val="Normal"/>
    <w:next w:val="Normal"/>
    <w:autoRedefine/>
    <w:uiPriority w:val="39"/>
    <w:unhideWhenUsed/>
    <w:rsid w:val="00D50A94"/>
    <w:pPr>
      <w:spacing w:after="0"/>
      <w:ind w:left="720"/>
      <w:jc w:val="left"/>
    </w:pPr>
    <w:rPr>
      <w:rFonts w:asciiTheme="minorHAnsi" w:hAnsiTheme="minorHAnsi"/>
      <w:sz w:val="20"/>
    </w:rPr>
  </w:style>
  <w:style w:type="paragraph" w:styleId="TDC5">
    <w:name w:val="toc 5"/>
    <w:basedOn w:val="Normal"/>
    <w:next w:val="Normal"/>
    <w:autoRedefine/>
    <w:uiPriority w:val="39"/>
    <w:unhideWhenUsed/>
    <w:rsid w:val="00D50A94"/>
    <w:pPr>
      <w:spacing w:after="0"/>
      <w:ind w:left="960"/>
      <w:jc w:val="left"/>
    </w:pPr>
    <w:rPr>
      <w:rFonts w:asciiTheme="minorHAnsi" w:hAnsiTheme="minorHAnsi"/>
      <w:sz w:val="20"/>
    </w:rPr>
  </w:style>
  <w:style w:type="paragraph" w:styleId="TDC6">
    <w:name w:val="toc 6"/>
    <w:basedOn w:val="Normal"/>
    <w:next w:val="Normal"/>
    <w:autoRedefine/>
    <w:uiPriority w:val="39"/>
    <w:unhideWhenUsed/>
    <w:rsid w:val="00D50A94"/>
    <w:pPr>
      <w:spacing w:after="0"/>
      <w:ind w:left="1200"/>
      <w:jc w:val="left"/>
    </w:pPr>
    <w:rPr>
      <w:rFonts w:asciiTheme="minorHAnsi" w:hAnsiTheme="minorHAnsi"/>
      <w:sz w:val="20"/>
    </w:rPr>
  </w:style>
  <w:style w:type="paragraph" w:styleId="TDC7">
    <w:name w:val="toc 7"/>
    <w:basedOn w:val="Normal"/>
    <w:next w:val="Normal"/>
    <w:autoRedefine/>
    <w:uiPriority w:val="39"/>
    <w:unhideWhenUsed/>
    <w:rsid w:val="00D50A94"/>
    <w:pPr>
      <w:spacing w:after="0"/>
      <w:ind w:left="1440"/>
      <w:jc w:val="left"/>
    </w:pPr>
    <w:rPr>
      <w:rFonts w:asciiTheme="minorHAnsi" w:hAnsiTheme="minorHAnsi"/>
      <w:sz w:val="20"/>
    </w:rPr>
  </w:style>
  <w:style w:type="paragraph" w:styleId="TDC8">
    <w:name w:val="toc 8"/>
    <w:basedOn w:val="Normal"/>
    <w:next w:val="Normal"/>
    <w:autoRedefine/>
    <w:uiPriority w:val="39"/>
    <w:unhideWhenUsed/>
    <w:rsid w:val="00D50A94"/>
    <w:pPr>
      <w:spacing w:after="0"/>
      <w:ind w:left="1680"/>
      <w:jc w:val="left"/>
    </w:pPr>
    <w:rPr>
      <w:rFonts w:asciiTheme="minorHAnsi" w:hAnsiTheme="minorHAnsi"/>
      <w:sz w:val="20"/>
    </w:rPr>
  </w:style>
  <w:style w:type="paragraph" w:styleId="TDC9">
    <w:name w:val="toc 9"/>
    <w:basedOn w:val="Normal"/>
    <w:next w:val="Normal"/>
    <w:autoRedefine/>
    <w:uiPriority w:val="39"/>
    <w:unhideWhenUsed/>
    <w:rsid w:val="00D50A94"/>
    <w:pPr>
      <w:spacing w:after="0"/>
      <w:ind w:left="1920"/>
      <w:jc w:val="left"/>
    </w:pPr>
    <w:rPr>
      <w:rFonts w:asciiTheme="minorHAnsi" w:hAnsiTheme="minorHAnsi"/>
      <w:sz w:val="20"/>
    </w:rPr>
  </w:style>
  <w:style w:type="table" w:styleId="Tablanormal2">
    <w:name w:val="Plain Table 2"/>
    <w:basedOn w:val="Tablanormal"/>
    <w:uiPriority w:val="42"/>
    <w:rsid w:val="00F34AD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3">
    <w:name w:val="Plain Table 3"/>
    <w:basedOn w:val="Tablanormal"/>
    <w:uiPriority w:val="43"/>
    <w:rsid w:val="00F34AD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F34AD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B34D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cabezado">
    <w:name w:val="header"/>
    <w:basedOn w:val="Normal"/>
    <w:link w:val="EncabezadoCar"/>
    <w:uiPriority w:val="99"/>
    <w:unhideWhenUsed/>
    <w:rsid w:val="0040419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04193"/>
    <w:rPr>
      <w:rFonts w:ascii="Arial" w:hAnsi="Arial"/>
      <w:sz w:val="24"/>
    </w:rPr>
  </w:style>
  <w:style w:type="paragraph" w:styleId="Piedepgina">
    <w:name w:val="footer"/>
    <w:basedOn w:val="Normal"/>
    <w:link w:val="PiedepginaCar"/>
    <w:uiPriority w:val="99"/>
    <w:unhideWhenUsed/>
    <w:rsid w:val="0040419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04193"/>
    <w:rPr>
      <w:rFonts w:ascii="Arial" w:hAnsi="Arial"/>
      <w:sz w:val="24"/>
    </w:rPr>
  </w:style>
  <w:style w:type="paragraph" w:customStyle="1" w:styleId="Titulo31">
    <w:name w:val="Titulo 3.1"/>
    <w:basedOn w:val="Ttulo3"/>
    <w:autoRedefine/>
    <w:qFormat/>
    <w:rsid w:val="00667A4D"/>
    <w:pPr>
      <w:numPr>
        <w:numId w:val="34"/>
      </w:numPr>
      <w:ind w:left="0" w:firstLine="720"/>
    </w:pPr>
    <w:rPr>
      <w:rFonts w:cs="Times New Roman"/>
      <w:b/>
      <w:i/>
      <w:color w:val="auto"/>
      <w:sz w:val="24"/>
      <w:szCs w:val="24"/>
      <w:lang w:val="es-ES"/>
    </w:rPr>
  </w:style>
  <w:style w:type="paragraph" w:styleId="NormalWeb">
    <w:name w:val="Normal (Web)"/>
    <w:basedOn w:val="Normal"/>
    <w:uiPriority w:val="99"/>
    <w:semiHidden/>
    <w:unhideWhenUsed/>
    <w:rsid w:val="00FF657C"/>
    <w:pPr>
      <w:spacing w:before="100" w:beforeAutospacing="1" w:after="100" w:afterAutospacing="1" w:line="240" w:lineRule="auto"/>
      <w:ind w:firstLine="0"/>
      <w:jc w:val="left"/>
    </w:pPr>
    <w:rPr>
      <w:rFonts w:eastAsia="Times New Roman" w:cs="Times New Roman"/>
      <w:szCs w:val="24"/>
      <w:lang w:eastAsia="es-CO"/>
    </w:rPr>
  </w:style>
  <w:style w:type="numbering" w:customStyle="1" w:styleId="dEFINITIVO">
    <w:name w:val="dEFINITIVO"/>
    <w:uiPriority w:val="99"/>
    <w:rsid w:val="009655C5"/>
    <w:pPr>
      <w:numPr>
        <w:numId w:val="27"/>
      </w:numPr>
    </w:pPr>
  </w:style>
  <w:style w:type="paragraph" w:styleId="Descripcin">
    <w:name w:val="caption"/>
    <w:basedOn w:val="Normal"/>
    <w:next w:val="Normal"/>
    <w:autoRedefine/>
    <w:uiPriority w:val="35"/>
    <w:unhideWhenUsed/>
    <w:qFormat/>
    <w:rsid w:val="00AA528A"/>
    <w:pPr>
      <w:spacing w:after="200" w:line="240" w:lineRule="auto"/>
    </w:pPr>
    <w:rPr>
      <w:b/>
      <w:bCs/>
      <w:szCs w:val="18"/>
    </w:rPr>
  </w:style>
  <w:style w:type="paragraph" w:styleId="Tabladeilustraciones">
    <w:name w:val="table of figures"/>
    <w:basedOn w:val="Normal"/>
    <w:next w:val="Normal"/>
    <w:autoRedefine/>
    <w:uiPriority w:val="99"/>
    <w:unhideWhenUsed/>
    <w:rsid w:val="00FB0B54"/>
    <w:pPr>
      <w:spacing w:after="0" w:line="360" w:lineRule="auto"/>
      <w:ind w:firstLine="720"/>
    </w:pPr>
  </w:style>
  <w:style w:type="character" w:styleId="Mencinsinresolver">
    <w:name w:val="Unresolved Mention"/>
    <w:basedOn w:val="Fuentedeprrafopredeter"/>
    <w:uiPriority w:val="99"/>
    <w:semiHidden/>
    <w:unhideWhenUsed/>
    <w:rsid w:val="00FC4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54041">
      <w:bodyDiv w:val="1"/>
      <w:marLeft w:val="0"/>
      <w:marRight w:val="0"/>
      <w:marTop w:val="0"/>
      <w:marBottom w:val="0"/>
      <w:divBdr>
        <w:top w:val="none" w:sz="0" w:space="0" w:color="auto"/>
        <w:left w:val="none" w:sz="0" w:space="0" w:color="auto"/>
        <w:bottom w:val="none" w:sz="0" w:space="0" w:color="auto"/>
        <w:right w:val="none" w:sz="0" w:space="0" w:color="auto"/>
      </w:divBdr>
    </w:div>
    <w:div w:id="591356456">
      <w:bodyDiv w:val="1"/>
      <w:marLeft w:val="0"/>
      <w:marRight w:val="0"/>
      <w:marTop w:val="0"/>
      <w:marBottom w:val="0"/>
      <w:divBdr>
        <w:top w:val="none" w:sz="0" w:space="0" w:color="auto"/>
        <w:left w:val="none" w:sz="0" w:space="0" w:color="auto"/>
        <w:bottom w:val="none" w:sz="0" w:space="0" w:color="auto"/>
        <w:right w:val="none" w:sz="0" w:space="0" w:color="auto"/>
      </w:divBdr>
    </w:div>
    <w:div w:id="611327741">
      <w:bodyDiv w:val="1"/>
      <w:marLeft w:val="0"/>
      <w:marRight w:val="0"/>
      <w:marTop w:val="0"/>
      <w:marBottom w:val="0"/>
      <w:divBdr>
        <w:top w:val="none" w:sz="0" w:space="0" w:color="auto"/>
        <w:left w:val="none" w:sz="0" w:space="0" w:color="auto"/>
        <w:bottom w:val="none" w:sz="0" w:space="0" w:color="auto"/>
        <w:right w:val="none" w:sz="0" w:space="0" w:color="auto"/>
      </w:divBdr>
    </w:div>
    <w:div w:id="680935417">
      <w:bodyDiv w:val="1"/>
      <w:marLeft w:val="0"/>
      <w:marRight w:val="0"/>
      <w:marTop w:val="0"/>
      <w:marBottom w:val="0"/>
      <w:divBdr>
        <w:top w:val="none" w:sz="0" w:space="0" w:color="auto"/>
        <w:left w:val="none" w:sz="0" w:space="0" w:color="auto"/>
        <w:bottom w:val="none" w:sz="0" w:space="0" w:color="auto"/>
        <w:right w:val="none" w:sz="0" w:space="0" w:color="auto"/>
      </w:divBdr>
    </w:div>
    <w:div w:id="697003527">
      <w:bodyDiv w:val="1"/>
      <w:marLeft w:val="0"/>
      <w:marRight w:val="0"/>
      <w:marTop w:val="0"/>
      <w:marBottom w:val="0"/>
      <w:divBdr>
        <w:top w:val="none" w:sz="0" w:space="0" w:color="auto"/>
        <w:left w:val="none" w:sz="0" w:space="0" w:color="auto"/>
        <w:bottom w:val="none" w:sz="0" w:space="0" w:color="auto"/>
        <w:right w:val="none" w:sz="0" w:space="0" w:color="auto"/>
      </w:divBdr>
    </w:div>
    <w:div w:id="746224902">
      <w:bodyDiv w:val="1"/>
      <w:marLeft w:val="0"/>
      <w:marRight w:val="0"/>
      <w:marTop w:val="0"/>
      <w:marBottom w:val="0"/>
      <w:divBdr>
        <w:top w:val="none" w:sz="0" w:space="0" w:color="auto"/>
        <w:left w:val="none" w:sz="0" w:space="0" w:color="auto"/>
        <w:bottom w:val="none" w:sz="0" w:space="0" w:color="auto"/>
        <w:right w:val="none" w:sz="0" w:space="0" w:color="auto"/>
      </w:divBdr>
    </w:div>
    <w:div w:id="1001928159">
      <w:bodyDiv w:val="1"/>
      <w:marLeft w:val="0"/>
      <w:marRight w:val="0"/>
      <w:marTop w:val="0"/>
      <w:marBottom w:val="0"/>
      <w:divBdr>
        <w:top w:val="none" w:sz="0" w:space="0" w:color="auto"/>
        <w:left w:val="none" w:sz="0" w:space="0" w:color="auto"/>
        <w:bottom w:val="none" w:sz="0" w:space="0" w:color="auto"/>
        <w:right w:val="none" w:sz="0" w:space="0" w:color="auto"/>
      </w:divBdr>
    </w:div>
    <w:div w:id="1188372976">
      <w:bodyDiv w:val="1"/>
      <w:marLeft w:val="0"/>
      <w:marRight w:val="0"/>
      <w:marTop w:val="0"/>
      <w:marBottom w:val="0"/>
      <w:divBdr>
        <w:top w:val="none" w:sz="0" w:space="0" w:color="auto"/>
        <w:left w:val="none" w:sz="0" w:space="0" w:color="auto"/>
        <w:bottom w:val="none" w:sz="0" w:space="0" w:color="auto"/>
        <w:right w:val="none" w:sz="0" w:space="0" w:color="auto"/>
      </w:divBdr>
    </w:div>
    <w:div w:id="1236669201">
      <w:bodyDiv w:val="1"/>
      <w:marLeft w:val="0"/>
      <w:marRight w:val="0"/>
      <w:marTop w:val="0"/>
      <w:marBottom w:val="0"/>
      <w:divBdr>
        <w:top w:val="none" w:sz="0" w:space="0" w:color="auto"/>
        <w:left w:val="none" w:sz="0" w:space="0" w:color="auto"/>
        <w:bottom w:val="none" w:sz="0" w:space="0" w:color="auto"/>
        <w:right w:val="none" w:sz="0" w:space="0" w:color="auto"/>
      </w:divBdr>
    </w:div>
    <w:div w:id="1435704913">
      <w:bodyDiv w:val="1"/>
      <w:marLeft w:val="0"/>
      <w:marRight w:val="0"/>
      <w:marTop w:val="0"/>
      <w:marBottom w:val="0"/>
      <w:divBdr>
        <w:top w:val="none" w:sz="0" w:space="0" w:color="auto"/>
        <w:left w:val="none" w:sz="0" w:space="0" w:color="auto"/>
        <w:bottom w:val="none" w:sz="0" w:space="0" w:color="auto"/>
        <w:right w:val="none" w:sz="0" w:space="0" w:color="auto"/>
      </w:divBdr>
    </w:div>
    <w:div w:id="1568147792">
      <w:bodyDiv w:val="1"/>
      <w:marLeft w:val="0"/>
      <w:marRight w:val="0"/>
      <w:marTop w:val="0"/>
      <w:marBottom w:val="0"/>
      <w:divBdr>
        <w:top w:val="none" w:sz="0" w:space="0" w:color="auto"/>
        <w:left w:val="none" w:sz="0" w:space="0" w:color="auto"/>
        <w:bottom w:val="none" w:sz="0" w:space="0" w:color="auto"/>
        <w:right w:val="none" w:sz="0" w:space="0" w:color="auto"/>
      </w:divBdr>
    </w:div>
    <w:div w:id="1618681209">
      <w:bodyDiv w:val="1"/>
      <w:marLeft w:val="0"/>
      <w:marRight w:val="0"/>
      <w:marTop w:val="0"/>
      <w:marBottom w:val="0"/>
      <w:divBdr>
        <w:top w:val="none" w:sz="0" w:space="0" w:color="auto"/>
        <w:left w:val="none" w:sz="0" w:space="0" w:color="auto"/>
        <w:bottom w:val="none" w:sz="0" w:space="0" w:color="auto"/>
        <w:right w:val="none" w:sz="0" w:space="0" w:color="auto"/>
      </w:divBdr>
    </w:div>
    <w:div w:id="1627007945">
      <w:bodyDiv w:val="1"/>
      <w:marLeft w:val="0"/>
      <w:marRight w:val="0"/>
      <w:marTop w:val="0"/>
      <w:marBottom w:val="0"/>
      <w:divBdr>
        <w:top w:val="none" w:sz="0" w:space="0" w:color="auto"/>
        <w:left w:val="none" w:sz="0" w:space="0" w:color="auto"/>
        <w:bottom w:val="none" w:sz="0" w:space="0" w:color="auto"/>
        <w:right w:val="none" w:sz="0" w:space="0" w:color="auto"/>
      </w:divBdr>
    </w:div>
    <w:div w:id="1749424537">
      <w:bodyDiv w:val="1"/>
      <w:marLeft w:val="0"/>
      <w:marRight w:val="0"/>
      <w:marTop w:val="0"/>
      <w:marBottom w:val="0"/>
      <w:divBdr>
        <w:top w:val="none" w:sz="0" w:space="0" w:color="auto"/>
        <w:left w:val="none" w:sz="0" w:space="0" w:color="auto"/>
        <w:bottom w:val="none" w:sz="0" w:space="0" w:color="auto"/>
        <w:right w:val="none" w:sz="0" w:space="0" w:color="auto"/>
      </w:divBdr>
    </w:div>
    <w:div w:id="1905605835">
      <w:bodyDiv w:val="1"/>
      <w:marLeft w:val="0"/>
      <w:marRight w:val="0"/>
      <w:marTop w:val="0"/>
      <w:marBottom w:val="0"/>
      <w:divBdr>
        <w:top w:val="none" w:sz="0" w:space="0" w:color="auto"/>
        <w:left w:val="none" w:sz="0" w:space="0" w:color="auto"/>
        <w:bottom w:val="none" w:sz="0" w:space="0" w:color="auto"/>
        <w:right w:val="none" w:sz="0" w:space="0" w:color="auto"/>
      </w:divBdr>
    </w:div>
    <w:div w:id="213401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77A52-CF96-4512-9C0B-F9E12970C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2971</Words>
  <Characters>16342</Characters>
  <Application>Microsoft Office Word</Application>
  <DocSecurity>0</DocSecurity>
  <Lines>136</Lines>
  <Paragraphs>38</Paragraphs>
  <ScaleCrop>false</ScaleCrop>
  <HeadingPairs>
    <vt:vector size="4" baseType="variant">
      <vt:variant>
        <vt:lpstr>Título</vt:lpstr>
      </vt:variant>
      <vt:variant>
        <vt:i4>1</vt:i4>
      </vt:variant>
      <vt:variant>
        <vt:lpstr>Títulos</vt:lpstr>
      </vt:variant>
      <vt:variant>
        <vt:i4>38</vt:i4>
      </vt:variant>
    </vt:vector>
  </HeadingPairs>
  <TitlesOfParts>
    <vt:vector size="39" baseType="lpstr">
      <vt:lpstr/>
      <vt:lpstr>Definición del proyecto</vt:lpstr>
      <vt:lpstr>    Título, Modalidad, Responsables y Grupo de investigación</vt:lpstr>
      <vt:lpstr>    Revisión de literatura </vt:lpstr>
      <vt:lpstr>    Planteamiento del problema </vt:lpstr>
      <vt:lpstr>    Objetivos (General y Específicos)</vt:lpstr>
      <vt:lpstr>        Objetivo general</vt:lpstr>
      <vt:lpstr>        Objetivos específicos</vt:lpstr>
      <vt:lpstr>    Cumplimiento de objetivos</vt:lpstr>
      <vt:lpstr>    Pertinencias (teórica, práctica, metodológica, social)</vt:lpstr>
      <vt:lpstr>Marco de referencia</vt:lpstr>
      <vt:lpstr>    Marco conceptual</vt:lpstr>
      <vt:lpstr>        Inteligencia artificial aplicada a la gestión del talento humano</vt:lpstr>
      <vt:lpstr>        Equidad algorítmica y sesgos en los datos</vt:lpstr>
      <vt:lpstr>        Explicabilidad, transparencia y confianza organizacional</vt:lpstr>
      <vt:lpstr>        Gobernanza de datos y ética digital</vt:lpstr>
      <vt:lpstr>        Aceptación tecnológica y cambio organizacional</vt:lpstr>
      <vt:lpstr>        Bienestar, desempeño y sostenibilidad organizacional</vt:lpstr>
      <vt:lpstr>        Conceptos centrales</vt:lpstr>
      <vt:lpstr>        Tipos de usos de la IA en GTH </vt:lpstr>
      <vt:lpstr>        Subprocesos de Gestión del Talento Humano</vt:lpstr>
      <vt:lpstr>        Conceptos éticos transversales</vt:lpstr>
      <vt:lpstr>    Estado del Arte sobre la aplicación de la IA en la gestión del talento humano</vt:lpstr>
      <vt:lpstr>Desarrollo metodológico</vt:lpstr>
      <vt:lpstr>    Enfoque y tipo de Estudio</vt:lpstr>
      <vt:lpstr>    Etapas del desarrollo</vt:lpstr>
      <vt:lpstr>    Técnicas e instrumento por Etapa</vt:lpstr>
      <vt:lpstr>    Flujo del Proceso Metodológico</vt:lpstr>
      <vt:lpstr>    Criterios de Búsqueda y Depuración</vt:lpstr>
      <vt:lpstr>    Consideraciones éticas</vt:lpstr>
      <vt:lpstr>Resultados y análisis de la incidencia de la ia en la gestión del talento humano</vt:lpstr>
      <vt:lpstr>    Caracterización de la Literatura Revisada sobre IA en la Gestión del Talento Hum</vt:lpstr>
      <vt:lpstr>    Análisis de la Matriz de Aplicación de IA</vt:lpstr>
      <vt:lpstr>        Distribución de Evidencia (Sólida vs. Limitada)</vt:lpstr>
      <vt:lpstr>        Análisis a partir del Subproceso </vt:lpstr>
      <vt:lpstr>        Cruce por Tipo de IA</vt:lpstr>
      <vt:lpstr>    Beneficios, Obstáculos y Riesgos Identificados</vt:lpstr>
      <vt:lpstr>    Contrastación Contextual: Análisis de Casos en el Área Metropolitana de Bucarama</vt:lpstr>
      <vt:lpstr>        Casos documentados en la literatura internacional por subproceso</vt:lpstr>
    </vt:vector>
  </TitlesOfParts>
  <Company/>
  <LinksUpToDate>false</LinksUpToDate>
  <CharactersWithSpaces>19275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RUEDA</dc:creator>
  <cp:keywords/>
  <dc:description/>
  <cp:lastModifiedBy>KAROL RUEDA</cp:lastModifiedBy>
  <cp:revision>4</cp:revision>
  <cp:lastPrinted>2026-06-09T06:45:00Z</cp:lastPrinted>
  <dcterms:created xsi:type="dcterms:W3CDTF">2026-06-09T18:35:00Z</dcterms:created>
  <dcterms:modified xsi:type="dcterms:W3CDTF">2026-06-09T19:00:00Z</dcterms:modified>
</cp:coreProperties>
</file>